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4B447" w14:textId="77777777" w:rsidR="00446273" w:rsidRDefault="00446273">
      <w:pPr>
        <w:rPr>
          <w:rFonts w:cs="Calibri"/>
          <w:b/>
          <w:sz w:val="22"/>
          <w:szCs w:val="24"/>
        </w:rPr>
      </w:pPr>
      <w:r>
        <w:rPr>
          <w:b/>
          <w:sz w:val="22"/>
          <w:szCs w:val="24"/>
        </w:rPr>
        <w:t>List of called in applications for the week ending 03.02.2025</w:t>
      </w:r>
    </w:p>
    <w:p w14:paraId="2274B98C" w14:textId="77777777" w:rsidR="00446273" w:rsidRDefault="00446273">
      <w:pPr>
        <w:rPr>
          <w:sz w:val="22"/>
          <w:szCs w:val="24"/>
        </w:rPr>
      </w:pPr>
    </w:p>
    <w:p w14:paraId="72FEFAB6" w14:textId="77777777" w:rsidR="00446273" w:rsidRDefault="00446273">
      <w:pPr>
        <w:rPr>
          <w:rFonts w:cs="Calibri"/>
          <w:sz w:val="22"/>
          <w:szCs w:val="24"/>
        </w:rPr>
      </w:pPr>
    </w:p>
    <w:p w14:paraId="3AE50391" w14:textId="77777777" w:rsidR="00446273" w:rsidRDefault="00446273">
      <w:pPr>
        <w:rPr>
          <w:rFonts w:cs="Calibri"/>
          <w:b/>
          <w:sz w:val="22"/>
          <w:szCs w:val="24"/>
          <w:u w:val="single"/>
        </w:rPr>
      </w:pPr>
      <w:r>
        <w:rPr>
          <w:b/>
          <w:sz w:val="22"/>
          <w:szCs w:val="24"/>
          <w:u w:val="single"/>
        </w:rPr>
        <w:t>SDNP/25/00228/FUL</w:t>
      </w:r>
    </w:p>
    <w:p w14:paraId="7EC6976E" w14:textId="77777777" w:rsidR="00446273" w:rsidRDefault="00446273">
      <w:pPr>
        <w:rPr>
          <w:sz w:val="22"/>
          <w:szCs w:val="24"/>
        </w:rPr>
      </w:pPr>
    </w:p>
    <w:p w14:paraId="23AC5B49" w14:textId="77777777" w:rsidR="00446273" w:rsidRDefault="00446273">
      <w:pPr>
        <w:rPr>
          <w:sz w:val="22"/>
          <w:szCs w:val="24"/>
        </w:rPr>
      </w:pPr>
      <w:r>
        <w:rPr>
          <w:rFonts w:cs="Calibri"/>
          <w:sz w:val="22"/>
          <w:szCs w:val="24"/>
        </w:rPr>
        <w:t>Use of land for small glamping site with 2 wooden cabins, 4 yurts, shepherd hut, 2 healing cabins and replacement stables.  Application includes regularisation of existing trailer, toilets, decking, cabins and tiered seating area</w:t>
      </w:r>
    </w:p>
    <w:p w14:paraId="2636D0F8" w14:textId="77777777" w:rsidR="00446273" w:rsidRDefault="00446273">
      <w:pPr>
        <w:rPr>
          <w:sz w:val="22"/>
          <w:szCs w:val="24"/>
        </w:rPr>
      </w:pPr>
      <w:r>
        <w:rPr>
          <w:rFonts w:cs="Calibri"/>
          <w:sz w:val="22"/>
          <w:szCs w:val="24"/>
        </w:rPr>
        <w:t xml:space="preserve">At  </w:t>
      </w:r>
    </w:p>
    <w:p w14:paraId="1FFB7E95" w14:textId="77777777" w:rsidR="00446273" w:rsidRDefault="00446273">
      <w:pPr>
        <w:rPr>
          <w:sz w:val="22"/>
          <w:szCs w:val="24"/>
        </w:rPr>
      </w:pPr>
      <w:r>
        <w:rPr>
          <w:rFonts w:cs="Calibri"/>
          <w:sz w:val="22"/>
          <w:szCs w:val="24"/>
        </w:rPr>
        <w:t xml:space="preserve">Land adjacent to 66, The Lookout, Peacehaven, East Sussex, </w:t>
      </w:r>
    </w:p>
    <w:p w14:paraId="0E33CE5B" w14:textId="77777777" w:rsidR="00446273" w:rsidRDefault="00446273">
      <w:pPr>
        <w:rPr>
          <w:rFonts w:cs="Calibri"/>
          <w:sz w:val="22"/>
          <w:szCs w:val="24"/>
        </w:rPr>
      </w:pPr>
    </w:p>
    <w:p w14:paraId="748043AF" w14:textId="77777777" w:rsidR="00446273" w:rsidRDefault="00446273">
      <w:pPr>
        <w:rPr>
          <w:sz w:val="22"/>
          <w:szCs w:val="24"/>
        </w:rPr>
      </w:pPr>
      <w:r>
        <w:rPr>
          <w:b/>
          <w:sz w:val="22"/>
          <w:szCs w:val="24"/>
        </w:rPr>
        <w:t>Validation Date:</w:t>
      </w:r>
      <w:r>
        <w:rPr>
          <w:rFonts w:cs="Calibri"/>
          <w:sz w:val="22"/>
          <w:szCs w:val="24"/>
        </w:rPr>
        <w:t xml:space="preserve">  </w:t>
      </w:r>
      <w:r>
        <w:rPr>
          <w:sz w:val="22"/>
          <w:szCs w:val="24"/>
        </w:rPr>
        <w:t>29 January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28 January 2025</w:t>
      </w:r>
    </w:p>
    <w:p w14:paraId="77B18D7A" w14:textId="77777777" w:rsidR="00446273" w:rsidRDefault="00446273">
      <w:pPr>
        <w:rPr>
          <w:rFonts w:cs="Calibri"/>
          <w:sz w:val="22"/>
          <w:szCs w:val="24"/>
        </w:rPr>
      </w:pPr>
    </w:p>
    <w:p w14:paraId="718D79BA" w14:textId="77777777" w:rsidR="00446273" w:rsidRDefault="00446273">
      <w:pPr>
        <w:rPr>
          <w:b/>
          <w:sz w:val="22"/>
          <w:szCs w:val="24"/>
        </w:rPr>
      </w:pPr>
      <w:r>
        <w:rPr>
          <w:b/>
          <w:sz w:val="22"/>
          <w:szCs w:val="24"/>
        </w:rPr>
        <w:t>Reason for the Direction</w:t>
      </w:r>
      <w:r>
        <w:rPr>
          <w:rFonts w:cs="Calibri"/>
          <w:b/>
          <w:sz w:val="22"/>
          <w:szCs w:val="24"/>
        </w:rPr>
        <w:t>:</w:t>
      </w:r>
    </w:p>
    <w:p w14:paraId="5B83D0E0" w14:textId="77777777" w:rsidR="00446273" w:rsidRDefault="00446273">
      <w:pPr>
        <w:rPr>
          <w:sz w:val="22"/>
          <w:szCs w:val="24"/>
        </w:rPr>
      </w:pPr>
      <w:r>
        <w:rPr>
          <w:rFonts w:cs="Calibri"/>
          <w:sz w:val="22"/>
          <w:szCs w:val="24"/>
        </w:rPr>
        <w:t>The scheme proposes a glamping site on the fringes of Newhaven.  The proposal has the potential to be significant in terms of its impact on the natural beauty, wildlife and/or cultural heritage, and opportunities for the public understanding and enjoyment of the special qualities and as such the first and second purpose of South Downs National Park designation.</w:t>
      </w:r>
    </w:p>
    <w:p w14:paraId="6AF10866" w14:textId="77777777" w:rsidR="00446273" w:rsidRDefault="00446273">
      <w:pPr>
        <w:rPr>
          <w:rFonts w:cs="Calibri"/>
          <w:sz w:val="22"/>
          <w:szCs w:val="24"/>
        </w:rPr>
      </w:pPr>
    </w:p>
    <w:p w14:paraId="3BDC27E4" w14:textId="77777777" w:rsidR="00446273" w:rsidRDefault="00446273">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"https://planningpublicaccess.southdowns.gov.uk/online-applications/applicationDetails.do?activeTab=summary&amp;keyVal=SQFHKITU08600"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07F332F8" w14:textId="77777777" w:rsidR="00446273" w:rsidRDefault="00446273">
      <w:pPr>
        <w:rPr>
          <w:rFonts w:cs="Calibri"/>
          <w:sz w:val="22"/>
          <w:szCs w:val="24"/>
        </w:rPr>
      </w:pPr>
      <w:r>
        <w:rPr>
          <w:sz w:val="22"/>
          <w:szCs w:val="24"/>
        </w:rPr>
        <w:fldChar w:fldCharType="end"/>
      </w:r>
    </w:p>
    <w:p w14:paraId="17F6FF1B" w14:textId="77777777" w:rsidR="00446273" w:rsidRDefault="00446273">
      <w:pPr>
        <w:rPr>
          <w:sz w:val="22"/>
          <w:szCs w:val="24"/>
        </w:rPr>
      </w:pPr>
    </w:p>
    <w:p w14:paraId="79A56C52" w14:textId="77777777" w:rsidR="00446273" w:rsidRDefault="00446273">
      <w:pPr>
        <w:rPr>
          <w:b/>
          <w:sz w:val="22"/>
          <w:szCs w:val="24"/>
          <w:u w:val="single"/>
        </w:rPr>
      </w:pPr>
      <w:r>
        <w:rPr>
          <w:rFonts w:cs="Calibri"/>
          <w:b/>
          <w:sz w:val="22"/>
          <w:szCs w:val="24"/>
          <w:u w:val="single"/>
        </w:rPr>
        <w:t>SDNP/25/00222/DCOND</w:t>
      </w:r>
    </w:p>
    <w:p w14:paraId="5A398ADC" w14:textId="77777777" w:rsidR="00446273" w:rsidRDefault="00446273">
      <w:pPr>
        <w:rPr>
          <w:rFonts w:cs="Calibri"/>
          <w:sz w:val="22"/>
          <w:szCs w:val="24"/>
        </w:rPr>
      </w:pPr>
    </w:p>
    <w:p w14:paraId="6C910A89" w14:textId="77777777" w:rsidR="00446273" w:rsidRDefault="00446273">
      <w:pPr>
        <w:rPr>
          <w:rFonts w:cs="Calibri"/>
          <w:sz w:val="22"/>
          <w:szCs w:val="24"/>
        </w:rPr>
      </w:pPr>
      <w:r>
        <w:rPr>
          <w:sz w:val="22"/>
          <w:szCs w:val="24"/>
        </w:rPr>
        <w:t>Discharge of Conditions 10 (surface water drainage) and 13 (CEMP) for SDNP/18/06292/OUT</w:t>
      </w:r>
    </w:p>
    <w:p w14:paraId="134E2A33" w14:textId="77777777" w:rsidR="00446273" w:rsidRDefault="00446273">
      <w:pPr>
        <w:rPr>
          <w:rFonts w:cs="Calibri"/>
          <w:sz w:val="22"/>
          <w:szCs w:val="24"/>
        </w:rPr>
      </w:pPr>
      <w:r>
        <w:rPr>
          <w:sz w:val="22"/>
          <w:szCs w:val="24"/>
        </w:rPr>
        <w:t xml:space="preserve">At  </w:t>
      </w:r>
    </w:p>
    <w:p w14:paraId="38B5A6E4" w14:textId="77777777" w:rsidR="00446273" w:rsidRDefault="00446273">
      <w:pPr>
        <w:rPr>
          <w:rFonts w:cs="Calibri"/>
          <w:sz w:val="22"/>
          <w:szCs w:val="24"/>
        </w:rPr>
      </w:pPr>
      <w:r>
        <w:rPr>
          <w:sz w:val="22"/>
          <w:szCs w:val="24"/>
        </w:rPr>
        <w:t>Land North Of Buckmore Farm , Beckham Lane, Petersfield, Hampshire, GU32 3BU</w:t>
      </w:r>
    </w:p>
    <w:p w14:paraId="2BD053CB" w14:textId="77777777" w:rsidR="00446273" w:rsidRDefault="00446273">
      <w:pPr>
        <w:rPr>
          <w:sz w:val="22"/>
          <w:szCs w:val="24"/>
        </w:rPr>
      </w:pPr>
    </w:p>
    <w:p w14:paraId="722B59DA" w14:textId="77777777" w:rsidR="00446273" w:rsidRDefault="00446273">
      <w:pPr>
        <w:rPr>
          <w:rFonts w:cs="Calibri"/>
          <w:sz w:val="22"/>
          <w:szCs w:val="24"/>
        </w:rPr>
      </w:pPr>
      <w:r>
        <w:rPr>
          <w:rFonts w:cs="Calibri"/>
          <w:b/>
          <w:sz w:val="22"/>
          <w:szCs w:val="24"/>
        </w:rPr>
        <w:t>Validation Date:</w:t>
      </w:r>
      <w:r>
        <w:rPr>
          <w:sz w:val="22"/>
          <w:szCs w:val="24"/>
        </w:rPr>
        <w:t xml:space="preserve">  </w:t>
      </w:r>
      <w:r>
        <w:rPr>
          <w:rFonts w:cs="Calibri"/>
          <w:sz w:val="22"/>
          <w:szCs w:val="24"/>
        </w:rPr>
        <w:t>28 January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 xml:space="preserve">No call in required. </w:t>
      </w:r>
    </w:p>
    <w:p w14:paraId="0422E880" w14:textId="77777777" w:rsidR="00446273" w:rsidRDefault="00446273">
      <w:pPr>
        <w:rPr>
          <w:sz w:val="22"/>
          <w:szCs w:val="24"/>
        </w:rPr>
      </w:pPr>
    </w:p>
    <w:p w14:paraId="4A3E23FB" w14:textId="77777777" w:rsidR="00446273" w:rsidRDefault="00446273">
      <w:pPr>
        <w:rPr>
          <w:rFonts w:cs="Calibri"/>
          <w:b/>
          <w:sz w:val="22"/>
          <w:szCs w:val="24"/>
        </w:rPr>
      </w:pPr>
      <w:r>
        <w:rPr>
          <w:rFonts w:cs="Calibri"/>
          <w:b/>
          <w:sz w:val="22"/>
          <w:szCs w:val="24"/>
        </w:rPr>
        <w:t>Reason for the Direction</w:t>
      </w:r>
      <w:r>
        <w:rPr>
          <w:b/>
          <w:sz w:val="22"/>
          <w:szCs w:val="24"/>
        </w:rPr>
        <w:t>:</w:t>
      </w:r>
    </w:p>
    <w:p w14:paraId="4CF737D6" w14:textId="77777777" w:rsidR="00446273" w:rsidRDefault="00446273">
      <w:pPr>
        <w:rPr>
          <w:sz w:val="22"/>
          <w:szCs w:val="24"/>
        </w:rPr>
      </w:pPr>
    </w:p>
    <w:p w14:paraId="4325FCE9" w14:textId="77777777" w:rsidR="00446273" w:rsidRDefault="00446273">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"https://planningpublicaccess.southdowns.gov.uk/online-applications/applicationDetails.do?activeTab=summary&amp;keyVal=SQE7QLTUFTC00"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23644D44" w14:textId="77777777" w:rsidR="00446273" w:rsidRDefault="00446273">
      <w:pPr>
        <w:rPr>
          <w:sz w:val="22"/>
          <w:szCs w:val="24"/>
        </w:rPr>
      </w:pPr>
      <w:r>
        <w:rPr>
          <w:rFonts w:cs="Calibri"/>
          <w:sz w:val="22"/>
          <w:szCs w:val="24"/>
        </w:rPr>
        <w:fldChar w:fldCharType="end"/>
      </w:r>
    </w:p>
    <w:p w14:paraId="59F4DC47" w14:textId="77777777" w:rsidR="00446273" w:rsidRDefault="00446273">
      <w:pPr>
        <w:rPr>
          <w:rFonts w:cs="Calibri"/>
          <w:sz w:val="22"/>
          <w:szCs w:val="24"/>
        </w:rPr>
      </w:pPr>
    </w:p>
    <w:p w14:paraId="21B380F0" w14:textId="77777777" w:rsidR="00446273" w:rsidRDefault="00446273">
      <w:pPr>
        <w:rPr>
          <w:rFonts w:cs="Calibri"/>
          <w:b/>
          <w:sz w:val="22"/>
          <w:szCs w:val="24"/>
          <w:u w:val="single"/>
        </w:rPr>
      </w:pPr>
      <w:r>
        <w:rPr>
          <w:b/>
          <w:sz w:val="22"/>
          <w:szCs w:val="24"/>
          <w:u w:val="single"/>
        </w:rPr>
        <w:t>SDNP/25/00240/HOUS</w:t>
      </w:r>
    </w:p>
    <w:p w14:paraId="7E66354D" w14:textId="77777777" w:rsidR="00446273" w:rsidRDefault="00446273">
      <w:pPr>
        <w:rPr>
          <w:sz w:val="22"/>
          <w:szCs w:val="24"/>
        </w:rPr>
      </w:pPr>
    </w:p>
    <w:p w14:paraId="3217BB11" w14:textId="77777777" w:rsidR="00446273" w:rsidRDefault="00446273">
      <w:pPr>
        <w:rPr>
          <w:sz w:val="22"/>
          <w:szCs w:val="24"/>
        </w:rPr>
      </w:pPr>
      <w:r>
        <w:rPr>
          <w:rFonts w:cs="Calibri"/>
          <w:sz w:val="22"/>
          <w:szCs w:val="24"/>
        </w:rPr>
        <w:t>Retention of staircase to the rear of elevation.</w:t>
      </w:r>
    </w:p>
    <w:p w14:paraId="53704AD3" w14:textId="77777777" w:rsidR="00446273" w:rsidRDefault="00446273">
      <w:pPr>
        <w:rPr>
          <w:sz w:val="22"/>
          <w:szCs w:val="24"/>
        </w:rPr>
      </w:pPr>
      <w:r>
        <w:rPr>
          <w:rFonts w:cs="Calibri"/>
          <w:sz w:val="22"/>
          <w:szCs w:val="24"/>
        </w:rPr>
        <w:t xml:space="preserve">At  </w:t>
      </w:r>
    </w:p>
    <w:p w14:paraId="15F35DB7" w14:textId="77777777" w:rsidR="00446273" w:rsidRDefault="00446273">
      <w:pPr>
        <w:rPr>
          <w:sz w:val="22"/>
          <w:szCs w:val="24"/>
        </w:rPr>
      </w:pPr>
      <w:r>
        <w:rPr>
          <w:rFonts w:cs="Calibri"/>
          <w:sz w:val="22"/>
          <w:szCs w:val="24"/>
        </w:rPr>
        <w:t xml:space="preserve">3 The Engine House, Kings Drive, </w:t>
      </w:r>
      <w:proofErr w:type="spellStart"/>
      <w:r>
        <w:rPr>
          <w:rFonts w:cs="Calibri"/>
          <w:sz w:val="22"/>
          <w:szCs w:val="24"/>
        </w:rPr>
        <w:t>Easebourne</w:t>
      </w:r>
      <w:proofErr w:type="spellEnd"/>
      <w:r>
        <w:rPr>
          <w:rFonts w:cs="Calibri"/>
          <w:sz w:val="22"/>
          <w:szCs w:val="24"/>
        </w:rPr>
        <w:t>, West Sussex, GU29 0FA</w:t>
      </w:r>
    </w:p>
    <w:p w14:paraId="345EFFE3" w14:textId="77777777" w:rsidR="00446273" w:rsidRDefault="00446273">
      <w:pPr>
        <w:rPr>
          <w:rFonts w:cs="Calibri"/>
          <w:sz w:val="22"/>
          <w:szCs w:val="24"/>
        </w:rPr>
      </w:pPr>
    </w:p>
    <w:p w14:paraId="3B8B691A" w14:textId="77777777" w:rsidR="00446273" w:rsidRDefault="00446273">
      <w:pPr>
        <w:rPr>
          <w:sz w:val="22"/>
          <w:szCs w:val="24"/>
        </w:rPr>
      </w:pPr>
      <w:r>
        <w:rPr>
          <w:b/>
          <w:sz w:val="22"/>
          <w:szCs w:val="24"/>
        </w:rPr>
        <w:t>Validation Date:</w:t>
      </w:r>
      <w:r>
        <w:rPr>
          <w:rFonts w:cs="Calibri"/>
          <w:sz w:val="22"/>
          <w:szCs w:val="24"/>
        </w:rPr>
        <w:t xml:space="preserve">  </w:t>
      </w:r>
      <w:r>
        <w:rPr>
          <w:sz w:val="22"/>
          <w:szCs w:val="24"/>
        </w:rPr>
        <w:t>29 January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29 January 2025</w:t>
      </w:r>
    </w:p>
    <w:p w14:paraId="6E4BE8C7" w14:textId="77777777" w:rsidR="00446273" w:rsidRDefault="00446273">
      <w:pPr>
        <w:rPr>
          <w:rFonts w:cs="Calibri"/>
          <w:sz w:val="22"/>
          <w:szCs w:val="24"/>
        </w:rPr>
      </w:pPr>
    </w:p>
    <w:p w14:paraId="712E0E6E" w14:textId="77777777" w:rsidR="00446273" w:rsidRDefault="00446273">
      <w:pPr>
        <w:rPr>
          <w:b/>
          <w:sz w:val="22"/>
          <w:szCs w:val="24"/>
        </w:rPr>
      </w:pPr>
      <w:r>
        <w:rPr>
          <w:b/>
          <w:sz w:val="22"/>
          <w:szCs w:val="24"/>
        </w:rPr>
        <w:t>Reason for the Direction</w:t>
      </w:r>
      <w:r>
        <w:rPr>
          <w:rFonts w:cs="Calibri"/>
          <w:b/>
          <w:sz w:val="22"/>
          <w:szCs w:val="24"/>
        </w:rPr>
        <w:t>:</w:t>
      </w:r>
    </w:p>
    <w:p w14:paraId="0EEC80C9" w14:textId="77777777" w:rsidR="00446273" w:rsidRDefault="00446273">
      <w:pPr>
        <w:rPr>
          <w:sz w:val="22"/>
          <w:szCs w:val="24"/>
        </w:rPr>
      </w:pPr>
      <w:r>
        <w:rPr>
          <w:rFonts w:cs="Calibri"/>
          <w:sz w:val="22"/>
          <w:szCs w:val="24"/>
        </w:rPr>
        <w:t xml:space="preserve">This application is not significant in its own right, but is associated with a previously called in application SDNP/21/00388/LIS which was called in because it had the potential to significantly affect the natural beauty, wildlife and cultural heritage of the South Downs National Park and as such the first purpose of designation. For reasons of consistency, and to ensure the objectives of the original consents for the King Edward </w:t>
      </w:r>
      <w:proofErr w:type="spellStart"/>
      <w:r>
        <w:rPr>
          <w:rFonts w:cs="Calibri"/>
          <w:sz w:val="22"/>
          <w:szCs w:val="24"/>
        </w:rPr>
        <w:t>Vii</w:t>
      </w:r>
      <w:proofErr w:type="spellEnd"/>
      <w:r>
        <w:rPr>
          <w:rFonts w:cs="Calibri"/>
          <w:sz w:val="22"/>
          <w:szCs w:val="24"/>
        </w:rPr>
        <w:t xml:space="preserve"> site are considered (notably those relating to cultural heritage), the SDNPA also propose to handle this application in-house.</w:t>
      </w:r>
    </w:p>
    <w:p w14:paraId="22154503" w14:textId="77777777" w:rsidR="00446273" w:rsidRDefault="00446273">
      <w:pPr>
        <w:rPr>
          <w:rFonts w:cs="Calibri"/>
          <w:sz w:val="22"/>
          <w:szCs w:val="24"/>
        </w:rPr>
      </w:pPr>
    </w:p>
    <w:p w14:paraId="25053B17" w14:textId="77777777" w:rsidR="00446273" w:rsidRDefault="00446273">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"https://planningpublicaccess.southdowns.gov.uk/online-applications/applicationDetails.do?activeTab=summary&amp;keyVal=SQFPWZTUFU800"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54B8A145" w14:textId="77777777" w:rsidR="00446273" w:rsidRDefault="00446273">
      <w:pPr>
        <w:rPr>
          <w:rFonts w:cs="Calibri"/>
          <w:sz w:val="22"/>
          <w:szCs w:val="24"/>
        </w:rPr>
      </w:pPr>
      <w:r>
        <w:rPr>
          <w:sz w:val="22"/>
          <w:szCs w:val="24"/>
        </w:rPr>
        <w:fldChar w:fldCharType="end"/>
      </w:r>
    </w:p>
    <w:p w14:paraId="4A0FAB95" w14:textId="77777777" w:rsidR="00446273" w:rsidRDefault="00446273">
      <w:pPr>
        <w:rPr>
          <w:sz w:val="22"/>
          <w:szCs w:val="24"/>
        </w:rPr>
      </w:pPr>
    </w:p>
    <w:p w14:paraId="563652F6" w14:textId="77777777" w:rsidR="00446273" w:rsidRDefault="00446273">
      <w:pPr>
        <w:rPr>
          <w:rFonts w:cs="Calibri"/>
          <w:b/>
          <w:sz w:val="22"/>
          <w:szCs w:val="24"/>
          <w:u w:val="single"/>
        </w:rPr>
      </w:pPr>
    </w:p>
    <w:p w14:paraId="7D198D6B" w14:textId="77777777" w:rsidR="00446273" w:rsidRDefault="00446273">
      <w:pPr>
        <w:rPr>
          <w:b/>
          <w:sz w:val="22"/>
          <w:szCs w:val="24"/>
          <w:u w:val="single"/>
        </w:rPr>
      </w:pPr>
    </w:p>
    <w:p w14:paraId="58532AD8" w14:textId="77777777" w:rsidR="00446273" w:rsidRDefault="00446273">
      <w:pPr>
        <w:rPr>
          <w:rFonts w:cs="Calibri"/>
          <w:b/>
          <w:sz w:val="22"/>
          <w:szCs w:val="24"/>
          <w:u w:val="single"/>
        </w:rPr>
      </w:pPr>
    </w:p>
    <w:p w14:paraId="099F8CBE" w14:textId="77777777" w:rsidR="00446273" w:rsidRDefault="00446273">
      <w:pPr>
        <w:rPr>
          <w:b/>
          <w:sz w:val="22"/>
          <w:szCs w:val="24"/>
          <w:u w:val="single"/>
        </w:rPr>
      </w:pPr>
    </w:p>
    <w:p w14:paraId="48E71A8F" w14:textId="77777777" w:rsidR="00446273" w:rsidRDefault="00446273">
      <w:pPr>
        <w:rPr>
          <w:rFonts w:cs="Calibri"/>
          <w:b/>
          <w:sz w:val="22"/>
          <w:szCs w:val="24"/>
          <w:u w:val="single"/>
        </w:rPr>
      </w:pPr>
    </w:p>
    <w:p w14:paraId="64F2A901" w14:textId="77777777" w:rsidR="00446273" w:rsidRDefault="00446273">
      <w:pPr>
        <w:rPr>
          <w:b/>
          <w:sz w:val="22"/>
          <w:szCs w:val="24"/>
          <w:u w:val="single"/>
        </w:rPr>
      </w:pPr>
    </w:p>
    <w:p w14:paraId="4C4A6906" w14:textId="77777777" w:rsidR="00446273" w:rsidRDefault="00446273">
      <w:pPr>
        <w:rPr>
          <w:rFonts w:cs="Calibri"/>
          <w:b/>
          <w:sz w:val="22"/>
          <w:szCs w:val="24"/>
          <w:u w:val="single"/>
        </w:rPr>
      </w:pPr>
    </w:p>
    <w:p w14:paraId="5DABE6F7" w14:textId="77777777" w:rsidR="00446273" w:rsidRDefault="00446273">
      <w:pPr>
        <w:rPr>
          <w:rFonts w:cs="Calibri"/>
          <w:b/>
          <w:sz w:val="22"/>
          <w:szCs w:val="24"/>
          <w:u w:val="single"/>
        </w:rPr>
      </w:pPr>
      <w:r>
        <w:rPr>
          <w:b/>
          <w:sz w:val="22"/>
          <w:szCs w:val="24"/>
          <w:u w:val="single"/>
        </w:rPr>
        <w:t>SDNP/25/00326/DCOND</w:t>
      </w:r>
    </w:p>
    <w:p w14:paraId="26C87F21" w14:textId="77777777" w:rsidR="00446273" w:rsidRDefault="00446273">
      <w:pPr>
        <w:rPr>
          <w:sz w:val="22"/>
          <w:szCs w:val="24"/>
        </w:rPr>
      </w:pPr>
    </w:p>
    <w:p w14:paraId="74C1CFF4" w14:textId="77777777" w:rsidR="00446273" w:rsidRDefault="00446273">
      <w:pPr>
        <w:rPr>
          <w:sz w:val="22"/>
          <w:szCs w:val="24"/>
        </w:rPr>
      </w:pPr>
      <w:r>
        <w:rPr>
          <w:rFonts w:cs="Calibri"/>
          <w:sz w:val="22"/>
          <w:szCs w:val="24"/>
        </w:rPr>
        <w:t>Discharge of Condition 1 (Phasing plan) for SDNP/18/06292/OUT.</w:t>
      </w:r>
    </w:p>
    <w:p w14:paraId="4A53C1F8" w14:textId="77777777" w:rsidR="00446273" w:rsidRDefault="00446273">
      <w:pPr>
        <w:rPr>
          <w:sz w:val="22"/>
          <w:szCs w:val="24"/>
        </w:rPr>
      </w:pPr>
      <w:r>
        <w:rPr>
          <w:rFonts w:cs="Calibri"/>
          <w:sz w:val="22"/>
          <w:szCs w:val="24"/>
        </w:rPr>
        <w:t xml:space="preserve">At  </w:t>
      </w:r>
    </w:p>
    <w:p w14:paraId="0A452A87" w14:textId="77777777" w:rsidR="00446273" w:rsidRDefault="00446273">
      <w:pPr>
        <w:rPr>
          <w:sz w:val="22"/>
          <w:szCs w:val="24"/>
        </w:rPr>
      </w:pPr>
      <w:r>
        <w:rPr>
          <w:rFonts w:cs="Calibri"/>
          <w:sz w:val="22"/>
          <w:szCs w:val="24"/>
        </w:rPr>
        <w:t xml:space="preserve">Land North of Buckmore Farm (previously On Beckham Lane), Buckmore Lane, Petersfield, Hampshire, </w:t>
      </w:r>
    </w:p>
    <w:p w14:paraId="1A7D31F2" w14:textId="77777777" w:rsidR="00446273" w:rsidRDefault="00446273">
      <w:pPr>
        <w:rPr>
          <w:rFonts w:cs="Calibri"/>
          <w:sz w:val="22"/>
          <w:szCs w:val="24"/>
        </w:rPr>
      </w:pPr>
    </w:p>
    <w:p w14:paraId="4FF1CD88" w14:textId="77777777" w:rsidR="00446273" w:rsidRDefault="00446273">
      <w:pPr>
        <w:rPr>
          <w:sz w:val="22"/>
          <w:szCs w:val="24"/>
        </w:rPr>
      </w:pPr>
      <w:r>
        <w:rPr>
          <w:b/>
          <w:sz w:val="22"/>
          <w:szCs w:val="24"/>
        </w:rPr>
        <w:t>Validation Date:</w:t>
      </w:r>
      <w:r>
        <w:rPr>
          <w:rFonts w:cs="Calibri"/>
          <w:sz w:val="22"/>
          <w:szCs w:val="24"/>
        </w:rPr>
        <w:t xml:space="preserve">  </w:t>
      </w:r>
      <w:r>
        <w:rPr>
          <w:sz w:val="22"/>
          <w:szCs w:val="24"/>
        </w:rPr>
        <w:t>28 January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No call in required. </w:t>
      </w:r>
    </w:p>
    <w:p w14:paraId="0A66B23A" w14:textId="77777777" w:rsidR="00446273" w:rsidRDefault="00446273">
      <w:pPr>
        <w:rPr>
          <w:rFonts w:cs="Calibri"/>
          <w:sz w:val="22"/>
          <w:szCs w:val="24"/>
        </w:rPr>
      </w:pPr>
    </w:p>
    <w:p w14:paraId="20D00A0D" w14:textId="77777777" w:rsidR="00446273" w:rsidRDefault="00446273">
      <w:pPr>
        <w:rPr>
          <w:b/>
          <w:sz w:val="22"/>
          <w:szCs w:val="24"/>
        </w:rPr>
      </w:pPr>
      <w:r>
        <w:rPr>
          <w:b/>
          <w:sz w:val="22"/>
          <w:szCs w:val="24"/>
        </w:rPr>
        <w:t>Reason for the Direction</w:t>
      </w:r>
      <w:r>
        <w:rPr>
          <w:rFonts w:cs="Calibri"/>
          <w:b/>
          <w:sz w:val="22"/>
          <w:szCs w:val="24"/>
        </w:rPr>
        <w:t>:</w:t>
      </w:r>
    </w:p>
    <w:p w14:paraId="681E6A4A" w14:textId="77777777" w:rsidR="00446273" w:rsidRDefault="00446273">
      <w:pPr>
        <w:rPr>
          <w:rFonts w:cs="Calibri"/>
          <w:sz w:val="22"/>
          <w:szCs w:val="24"/>
        </w:rPr>
      </w:pPr>
    </w:p>
    <w:p w14:paraId="71E0835A" w14:textId="77777777" w:rsidR="00446273" w:rsidRDefault="00446273">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"https://planningpublicaccess.southdowns.gov.uk/online-applications/applicationDetails.do?activeTab=summary&amp;keyVal=SQQY3GTUFZM00"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4D1C182B" w14:textId="77777777" w:rsidR="00446273" w:rsidRDefault="00446273">
      <w:pPr>
        <w:rPr>
          <w:rFonts w:cs="Calibri"/>
          <w:sz w:val="22"/>
          <w:szCs w:val="24"/>
        </w:rPr>
      </w:pPr>
      <w:r>
        <w:rPr>
          <w:sz w:val="22"/>
          <w:szCs w:val="24"/>
        </w:rPr>
        <w:fldChar w:fldCharType="end"/>
      </w:r>
    </w:p>
    <w:p w14:paraId="49D808DB" w14:textId="77777777" w:rsidR="00446273" w:rsidRDefault="00446273">
      <w:pPr>
        <w:rPr>
          <w:sz w:val="22"/>
          <w:szCs w:val="24"/>
        </w:rPr>
      </w:pPr>
    </w:p>
    <w:p w14:paraId="7FD88E39" w14:textId="77777777" w:rsidR="00446273" w:rsidRDefault="00446273">
      <w:pPr>
        <w:rPr>
          <w:b/>
          <w:sz w:val="22"/>
          <w:szCs w:val="24"/>
          <w:u w:val="single"/>
        </w:rPr>
      </w:pPr>
      <w:r>
        <w:rPr>
          <w:rFonts w:cs="Calibri"/>
          <w:b/>
          <w:sz w:val="22"/>
          <w:szCs w:val="24"/>
          <w:u w:val="single"/>
        </w:rPr>
        <w:t>SDNP/25/00346/DCOND</w:t>
      </w:r>
    </w:p>
    <w:p w14:paraId="31D52AA7" w14:textId="77777777" w:rsidR="00446273" w:rsidRDefault="00446273">
      <w:pPr>
        <w:rPr>
          <w:rFonts w:cs="Calibri"/>
          <w:sz w:val="22"/>
          <w:szCs w:val="24"/>
        </w:rPr>
      </w:pPr>
    </w:p>
    <w:p w14:paraId="59D20B94" w14:textId="77777777" w:rsidR="00446273" w:rsidRDefault="00446273">
      <w:pPr>
        <w:rPr>
          <w:rFonts w:cs="Calibri"/>
          <w:sz w:val="22"/>
          <w:szCs w:val="24"/>
        </w:rPr>
      </w:pPr>
      <w:r>
        <w:rPr>
          <w:sz w:val="22"/>
          <w:szCs w:val="24"/>
        </w:rPr>
        <w:t>Discharge of Conditions 11 (Surface water drainage) and 12 (Foul water disposal) for SDNP/23/00746/REM.</w:t>
      </w:r>
    </w:p>
    <w:p w14:paraId="6A130E78" w14:textId="77777777" w:rsidR="00446273" w:rsidRDefault="00446273">
      <w:pPr>
        <w:rPr>
          <w:rFonts w:cs="Calibri"/>
          <w:sz w:val="22"/>
          <w:szCs w:val="24"/>
        </w:rPr>
      </w:pPr>
      <w:r>
        <w:rPr>
          <w:sz w:val="22"/>
          <w:szCs w:val="24"/>
        </w:rPr>
        <w:t xml:space="preserve">At  </w:t>
      </w:r>
    </w:p>
    <w:p w14:paraId="781F0C66" w14:textId="77777777" w:rsidR="00446273" w:rsidRDefault="00446273">
      <w:pPr>
        <w:rPr>
          <w:rFonts w:cs="Calibri"/>
          <w:sz w:val="22"/>
          <w:szCs w:val="24"/>
        </w:rPr>
      </w:pPr>
      <w:r>
        <w:rPr>
          <w:sz w:val="22"/>
          <w:szCs w:val="24"/>
        </w:rPr>
        <w:t>Land North Of Buckmore Farm , Beckham Lane, Petersfield, Hampshire, GU32 3BU</w:t>
      </w:r>
    </w:p>
    <w:p w14:paraId="5A2B9A17" w14:textId="77777777" w:rsidR="00446273" w:rsidRDefault="00446273">
      <w:pPr>
        <w:rPr>
          <w:sz w:val="22"/>
          <w:szCs w:val="24"/>
        </w:rPr>
      </w:pPr>
    </w:p>
    <w:p w14:paraId="55C35A11" w14:textId="77777777" w:rsidR="00446273" w:rsidRDefault="00446273">
      <w:pPr>
        <w:rPr>
          <w:rFonts w:cs="Calibri"/>
          <w:sz w:val="22"/>
          <w:szCs w:val="24"/>
        </w:rPr>
      </w:pPr>
      <w:r>
        <w:rPr>
          <w:rFonts w:cs="Calibri"/>
          <w:b/>
          <w:sz w:val="22"/>
          <w:szCs w:val="24"/>
        </w:rPr>
        <w:t>Validation Date:</w:t>
      </w:r>
      <w:r>
        <w:rPr>
          <w:sz w:val="22"/>
          <w:szCs w:val="24"/>
        </w:rPr>
        <w:t xml:space="preserve">  </w:t>
      </w:r>
      <w:r>
        <w:rPr>
          <w:rFonts w:cs="Calibri"/>
          <w:sz w:val="22"/>
          <w:szCs w:val="24"/>
        </w:rPr>
        <w:t>29 January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 xml:space="preserve">No call in required. </w:t>
      </w:r>
    </w:p>
    <w:p w14:paraId="426325BA" w14:textId="77777777" w:rsidR="00446273" w:rsidRDefault="00446273">
      <w:pPr>
        <w:rPr>
          <w:sz w:val="22"/>
          <w:szCs w:val="24"/>
        </w:rPr>
      </w:pPr>
    </w:p>
    <w:p w14:paraId="70AB2B75" w14:textId="77777777" w:rsidR="00446273" w:rsidRDefault="00446273">
      <w:pPr>
        <w:rPr>
          <w:rFonts w:cs="Calibri"/>
          <w:b/>
          <w:sz w:val="22"/>
          <w:szCs w:val="24"/>
        </w:rPr>
      </w:pPr>
      <w:r>
        <w:rPr>
          <w:rFonts w:cs="Calibri"/>
          <w:b/>
          <w:sz w:val="22"/>
          <w:szCs w:val="24"/>
        </w:rPr>
        <w:t>Reason for the Direction</w:t>
      </w:r>
      <w:r>
        <w:rPr>
          <w:b/>
          <w:sz w:val="22"/>
          <w:szCs w:val="24"/>
        </w:rPr>
        <w:t>:</w:t>
      </w:r>
    </w:p>
    <w:p w14:paraId="71AF0E01" w14:textId="77777777" w:rsidR="00446273" w:rsidRDefault="00446273">
      <w:pPr>
        <w:rPr>
          <w:sz w:val="22"/>
          <w:szCs w:val="24"/>
        </w:rPr>
      </w:pPr>
    </w:p>
    <w:p w14:paraId="63B928C8" w14:textId="77777777" w:rsidR="00446273" w:rsidRDefault="00446273">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"https://planningpublicaccess.southdowns.gov.uk/online-applications/applicationDetails.do?activeTab=summary&amp;keyVal=SQSOLATUG0Q00"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515E7A90" w14:textId="77777777" w:rsidR="00446273" w:rsidRDefault="00446273">
      <w:pPr>
        <w:rPr>
          <w:sz w:val="22"/>
          <w:szCs w:val="24"/>
        </w:rPr>
      </w:pPr>
      <w:r>
        <w:rPr>
          <w:rFonts w:cs="Calibri"/>
          <w:sz w:val="22"/>
          <w:szCs w:val="24"/>
        </w:rPr>
        <w:fldChar w:fldCharType="end"/>
      </w:r>
    </w:p>
    <w:p w14:paraId="3090D475" w14:textId="77777777" w:rsidR="00446273" w:rsidRDefault="00446273">
      <w:pPr>
        <w:rPr>
          <w:rFonts w:cs="Calibri"/>
          <w:sz w:val="22"/>
          <w:szCs w:val="24"/>
        </w:rPr>
      </w:pPr>
    </w:p>
    <w:p w14:paraId="3F3366CB" w14:textId="77777777" w:rsidR="00446273" w:rsidRDefault="00446273">
      <w:pPr>
        <w:rPr>
          <w:rFonts w:cs="Calibri"/>
          <w:b/>
          <w:sz w:val="22"/>
          <w:szCs w:val="24"/>
          <w:u w:val="single"/>
        </w:rPr>
      </w:pPr>
      <w:r>
        <w:rPr>
          <w:b/>
          <w:sz w:val="22"/>
          <w:szCs w:val="24"/>
          <w:u w:val="single"/>
        </w:rPr>
        <w:t>SDNP/25/00351/DCOND</w:t>
      </w:r>
    </w:p>
    <w:p w14:paraId="31FB4EDE" w14:textId="77777777" w:rsidR="00446273" w:rsidRDefault="00446273">
      <w:pPr>
        <w:rPr>
          <w:sz w:val="22"/>
          <w:szCs w:val="24"/>
        </w:rPr>
      </w:pPr>
    </w:p>
    <w:p w14:paraId="110D5B51" w14:textId="77777777" w:rsidR="00446273" w:rsidRDefault="00446273">
      <w:pPr>
        <w:rPr>
          <w:sz w:val="22"/>
          <w:szCs w:val="24"/>
        </w:rPr>
      </w:pPr>
      <w:r>
        <w:rPr>
          <w:rFonts w:cs="Calibri"/>
          <w:sz w:val="22"/>
          <w:szCs w:val="24"/>
        </w:rPr>
        <w:t>Discharge of condition 6 (Landscaping) for SDNP/22/03416/FUL.</w:t>
      </w:r>
    </w:p>
    <w:p w14:paraId="4874DC89" w14:textId="77777777" w:rsidR="00446273" w:rsidRDefault="00446273">
      <w:pPr>
        <w:rPr>
          <w:sz w:val="22"/>
          <w:szCs w:val="24"/>
        </w:rPr>
      </w:pPr>
      <w:r>
        <w:rPr>
          <w:rFonts w:cs="Calibri"/>
          <w:sz w:val="22"/>
          <w:szCs w:val="24"/>
        </w:rPr>
        <w:t xml:space="preserve">At  </w:t>
      </w:r>
    </w:p>
    <w:p w14:paraId="463D50C1" w14:textId="77777777" w:rsidR="00446273" w:rsidRDefault="00446273">
      <w:pPr>
        <w:rPr>
          <w:sz w:val="22"/>
          <w:szCs w:val="24"/>
        </w:rPr>
      </w:pPr>
      <w:r>
        <w:rPr>
          <w:rFonts w:cs="Calibri"/>
          <w:sz w:val="22"/>
          <w:szCs w:val="24"/>
        </w:rPr>
        <w:t xml:space="preserve">Longmoor Enterprise Park , Longmoor Road, </w:t>
      </w:r>
      <w:proofErr w:type="spellStart"/>
      <w:r>
        <w:rPr>
          <w:rFonts w:cs="Calibri"/>
          <w:sz w:val="22"/>
          <w:szCs w:val="24"/>
        </w:rPr>
        <w:t>Greatham</w:t>
      </w:r>
      <w:proofErr w:type="spellEnd"/>
      <w:r>
        <w:rPr>
          <w:rFonts w:cs="Calibri"/>
          <w:sz w:val="22"/>
          <w:szCs w:val="24"/>
        </w:rPr>
        <w:t>, Liss, Hampshire, GU33 6AP</w:t>
      </w:r>
    </w:p>
    <w:p w14:paraId="394FE5EA" w14:textId="77777777" w:rsidR="00446273" w:rsidRDefault="00446273">
      <w:pPr>
        <w:rPr>
          <w:rFonts w:cs="Calibri"/>
          <w:sz w:val="22"/>
          <w:szCs w:val="24"/>
        </w:rPr>
      </w:pPr>
    </w:p>
    <w:p w14:paraId="493407C4" w14:textId="77777777" w:rsidR="00446273" w:rsidRDefault="00446273">
      <w:pPr>
        <w:rPr>
          <w:sz w:val="22"/>
          <w:szCs w:val="24"/>
        </w:rPr>
      </w:pPr>
      <w:r>
        <w:rPr>
          <w:b/>
          <w:sz w:val="22"/>
          <w:szCs w:val="24"/>
        </w:rPr>
        <w:t>Validation Date:</w:t>
      </w:r>
      <w:r>
        <w:rPr>
          <w:rFonts w:cs="Calibri"/>
          <w:sz w:val="22"/>
          <w:szCs w:val="24"/>
        </w:rPr>
        <w:t xml:space="preserve">  </w:t>
      </w:r>
      <w:r>
        <w:rPr>
          <w:sz w:val="22"/>
          <w:szCs w:val="24"/>
        </w:rPr>
        <w:t>29 January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No call in required. </w:t>
      </w:r>
    </w:p>
    <w:p w14:paraId="6C1AC829" w14:textId="77777777" w:rsidR="00446273" w:rsidRDefault="00446273">
      <w:pPr>
        <w:rPr>
          <w:rFonts w:cs="Calibri"/>
          <w:sz w:val="22"/>
          <w:szCs w:val="24"/>
        </w:rPr>
      </w:pPr>
    </w:p>
    <w:p w14:paraId="5A7DC48E" w14:textId="77777777" w:rsidR="00446273" w:rsidRDefault="00446273">
      <w:pPr>
        <w:rPr>
          <w:b/>
          <w:sz w:val="22"/>
          <w:szCs w:val="24"/>
        </w:rPr>
      </w:pPr>
      <w:r>
        <w:rPr>
          <w:b/>
          <w:sz w:val="22"/>
          <w:szCs w:val="24"/>
        </w:rPr>
        <w:t>Reason for the Direction</w:t>
      </w:r>
      <w:r>
        <w:rPr>
          <w:rFonts w:cs="Calibri"/>
          <w:b/>
          <w:sz w:val="22"/>
          <w:szCs w:val="24"/>
        </w:rPr>
        <w:t>:</w:t>
      </w:r>
    </w:p>
    <w:p w14:paraId="25EA5893" w14:textId="77777777" w:rsidR="00446273" w:rsidRDefault="00446273">
      <w:pPr>
        <w:rPr>
          <w:rFonts w:cs="Calibri"/>
          <w:sz w:val="22"/>
          <w:szCs w:val="24"/>
        </w:rPr>
      </w:pPr>
    </w:p>
    <w:p w14:paraId="2A54C2D7" w14:textId="77777777" w:rsidR="00446273" w:rsidRDefault="00446273">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"https://planningpublicaccess.southdowns.gov.uk/online-applications/applicationDetails.do?activeTab=summary&amp;keyVal=SQSVIYTUG0Y00"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10C377DE" w14:textId="77777777" w:rsidR="00446273" w:rsidRDefault="00446273">
      <w:pPr>
        <w:rPr>
          <w:rFonts w:cs="Calibri"/>
          <w:sz w:val="22"/>
          <w:szCs w:val="24"/>
        </w:rPr>
      </w:pPr>
      <w:r>
        <w:rPr>
          <w:sz w:val="22"/>
          <w:szCs w:val="24"/>
        </w:rPr>
        <w:fldChar w:fldCharType="end"/>
      </w:r>
    </w:p>
    <w:p w14:paraId="35DA373F" w14:textId="77777777" w:rsidR="00446273" w:rsidRDefault="00446273">
      <w:pPr>
        <w:rPr>
          <w:sz w:val="22"/>
          <w:szCs w:val="24"/>
        </w:rPr>
      </w:pPr>
    </w:p>
    <w:p w14:paraId="0F863D30" w14:textId="77777777" w:rsidR="00446273" w:rsidRDefault="00446273">
      <w:pPr>
        <w:rPr>
          <w:b/>
          <w:sz w:val="22"/>
          <w:szCs w:val="24"/>
          <w:u w:val="single"/>
        </w:rPr>
      </w:pPr>
      <w:r>
        <w:rPr>
          <w:rFonts w:cs="Calibri"/>
          <w:b/>
          <w:sz w:val="22"/>
          <w:szCs w:val="24"/>
          <w:u w:val="single"/>
        </w:rPr>
        <w:t>SDNP/25/00357/LIS</w:t>
      </w:r>
    </w:p>
    <w:p w14:paraId="2BE610FD" w14:textId="77777777" w:rsidR="00446273" w:rsidRDefault="00446273">
      <w:pPr>
        <w:rPr>
          <w:rFonts w:cs="Calibri"/>
          <w:sz w:val="22"/>
          <w:szCs w:val="24"/>
        </w:rPr>
      </w:pPr>
    </w:p>
    <w:p w14:paraId="34267661" w14:textId="77777777" w:rsidR="00446273" w:rsidRDefault="00446273">
      <w:pPr>
        <w:rPr>
          <w:rFonts w:cs="Calibri"/>
          <w:sz w:val="22"/>
          <w:szCs w:val="24"/>
        </w:rPr>
      </w:pPr>
      <w:r>
        <w:rPr>
          <w:sz w:val="22"/>
          <w:szCs w:val="24"/>
        </w:rPr>
        <w:t>Internal and external alterations to Hollycombe House.</w:t>
      </w:r>
    </w:p>
    <w:p w14:paraId="4298311E" w14:textId="77777777" w:rsidR="00446273" w:rsidRDefault="00446273">
      <w:pPr>
        <w:rPr>
          <w:rFonts w:cs="Calibri"/>
          <w:sz w:val="22"/>
          <w:szCs w:val="24"/>
        </w:rPr>
      </w:pPr>
      <w:r>
        <w:rPr>
          <w:sz w:val="22"/>
          <w:szCs w:val="24"/>
        </w:rPr>
        <w:t xml:space="preserve">At  </w:t>
      </w:r>
    </w:p>
    <w:p w14:paraId="63A1297B" w14:textId="77777777" w:rsidR="00446273" w:rsidRDefault="00446273">
      <w:pPr>
        <w:rPr>
          <w:rFonts w:cs="Calibri"/>
          <w:sz w:val="22"/>
          <w:szCs w:val="24"/>
        </w:rPr>
      </w:pPr>
      <w:r>
        <w:rPr>
          <w:sz w:val="22"/>
          <w:szCs w:val="24"/>
        </w:rPr>
        <w:t xml:space="preserve">Hollycombe House , Hollycombe Lane, </w:t>
      </w:r>
      <w:proofErr w:type="spellStart"/>
      <w:r>
        <w:rPr>
          <w:sz w:val="22"/>
          <w:szCs w:val="24"/>
        </w:rPr>
        <w:t>Linch</w:t>
      </w:r>
      <w:proofErr w:type="spellEnd"/>
      <w:r>
        <w:rPr>
          <w:sz w:val="22"/>
          <w:szCs w:val="24"/>
        </w:rPr>
        <w:t>, West Sussex, GU30 7LP</w:t>
      </w:r>
    </w:p>
    <w:p w14:paraId="38C14EDE" w14:textId="77777777" w:rsidR="00446273" w:rsidRDefault="00446273">
      <w:pPr>
        <w:rPr>
          <w:sz w:val="22"/>
          <w:szCs w:val="24"/>
        </w:rPr>
      </w:pPr>
    </w:p>
    <w:p w14:paraId="6AFB65CD" w14:textId="77777777" w:rsidR="00446273" w:rsidRDefault="00446273">
      <w:pPr>
        <w:rPr>
          <w:rFonts w:cs="Calibri"/>
          <w:sz w:val="22"/>
          <w:szCs w:val="24"/>
        </w:rPr>
      </w:pPr>
      <w:r>
        <w:rPr>
          <w:rFonts w:cs="Calibri"/>
          <w:b/>
          <w:sz w:val="22"/>
          <w:szCs w:val="24"/>
        </w:rPr>
        <w:t>Validation Date:</w:t>
      </w:r>
      <w:r>
        <w:rPr>
          <w:sz w:val="22"/>
          <w:szCs w:val="24"/>
        </w:rPr>
        <w:t xml:space="preserve">  </w:t>
      </w:r>
      <w:r>
        <w:rPr>
          <w:rFonts w:cs="Calibri"/>
          <w:sz w:val="22"/>
          <w:szCs w:val="24"/>
        </w:rPr>
        <w:t>29 January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29 January 2025</w:t>
      </w:r>
    </w:p>
    <w:p w14:paraId="497D4A6E" w14:textId="77777777" w:rsidR="00446273" w:rsidRDefault="00446273">
      <w:pPr>
        <w:rPr>
          <w:sz w:val="22"/>
          <w:szCs w:val="24"/>
        </w:rPr>
      </w:pPr>
    </w:p>
    <w:p w14:paraId="669D3999" w14:textId="77777777" w:rsidR="00446273" w:rsidRDefault="00446273">
      <w:pPr>
        <w:rPr>
          <w:rFonts w:cs="Calibri"/>
          <w:b/>
          <w:sz w:val="22"/>
          <w:szCs w:val="24"/>
        </w:rPr>
      </w:pPr>
      <w:r>
        <w:rPr>
          <w:rFonts w:cs="Calibri"/>
          <w:b/>
          <w:sz w:val="22"/>
          <w:szCs w:val="24"/>
        </w:rPr>
        <w:t>Reason for the Direction</w:t>
      </w:r>
      <w:r>
        <w:rPr>
          <w:b/>
          <w:sz w:val="22"/>
          <w:szCs w:val="24"/>
        </w:rPr>
        <w:t>:</w:t>
      </w:r>
    </w:p>
    <w:p w14:paraId="38B7820B" w14:textId="77777777" w:rsidR="00446273" w:rsidRDefault="00446273">
      <w:pPr>
        <w:rPr>
          <w:rFonts w:cs="Calibri"/>
          <w:sz w:val="22"/>
          <w:szCs w:val="24"/>
        </w:rPr>
      </w:pPr>
      <w:r>
        <w:rPr>
          <w:sz w:val="22"/>
          <w:szCs w:val="24"/>
        </w:rPr>
        <w:t>This listed building application is associated with amendments to previously called in applications for the site which were called in because they had the potential to have a significant impact on the natural beauty, wildlife, and/or cultural heritage of the South Downs National Park and the first purpose of designation.</w:t>
      </w:r>
    </w:p>
    <w:p w14:paraId="7304A334" w14:textId="77777777" w:rsidR="00446273" w:rsidRDefault="00446273">
      <w:pPr>
        <w:rPr>
          <w:sz w:val="22"/>
          <w:szCs w:val="24"/>
        </w:rPr>
      </w:pPr>
    </w:p>
    <w:p w14:paraId="13F5FF79" w14:textId="77777777" w:rsidR="00446273" w:rsidRDefault="00446273">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"https://planningpublicaccess.southdowns.gov.uk/online-applications/applicationDetails.do?activeTab=summary&amp;keyVal=SQT2JITUG1D00"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5F5688EA" w14:textId="77777777" w:rsidR="00446273" w:rsidRDefault="00446273">
      <w:pPr>
        <w:rPr>
          <w:sz w:val="22"/>
          <w:szCs w:val="24"/>
        </w:rPr>
      </w:pPr>
      <w:r>
        <w:rPr>
          <w:rFonts w:cs="Calibri"/>
          <w:sz w:val="22"/>
          <w:szCs w:val="24"/>
        </w:rPr>
        <w:fldChar w:fldCharType="end"/>
      </w:r>
    </w:p>
    <w:p w14:paraId="15CF6F8C" w14:textId="77777777" w:rsidR="00446273" w:rsidRDefault="00446273">
      <w:pPr>
        <w:rPr>
          <w:rFonts w:cs="Calibri"/>
          <w:sz w:val="22"/>
          <w:szCs w:val="24"/>
        </w:rPr>
      </w:pPr>
    </w:p>
    <w:p w14:paraId="51F70EF9" w14:textId="77777777" w:rsidR="00446273" w:rsidRDefault="00446273">
      <w:pPr>
        <w:rPr>
          <w:sz w:val="22"/>
          <w:szCs w:val="24"/>
        </w:rPr>
      </w:pPr>
    </w:p>
    <w:p w14:paraId="0E063A61" w14:textId="77777777" w:rsidR="00446273" w:rsidRDefault="00446273">
      <w:pPr>
        <w:rPr>
          <w:rFonts w:cs="Calibri"/>
          <w:sz w:val="22"/>
          <w:szCs w:val="24"/>
        </w:rPr>
      </w:pPr>
    </w:p>
    <w:p w14:paraId="1FFA5F80" w14:textId="77777777" w:rsidR="00446273" w:rsidRDefault="00446273">
      <w:pPr>
        <w:rPr>
          <w:sz w:val="22"/>
          <w:szCs w:val="24"/>
        </w:rPr>
      </w:pPr>
    </w:p>
    <w:p w14:paraId="632E772E" w14:textId="77777777" w:rsidR="00446273" w:rsidRDefault="00446273">
      <w:pPr>
        <w:rPr>
          <w:rFonts w:cs="Calibri"/>
          <w:sz w:val="22"/>
          <w:szCs w:val="24"/>
        </w:rPr>
      </w:pPr>
    </w:p>
    <w:p w14:paraId="089F1D12" w14:textId="77777777" w:rsidR="00446273" w:rsidRDefault="00446273">
      <w:pPr>
        <w:rPr>
          <w:rFonts w:cs="Calibri"/>
          <w:b/>
          <w:sz w:val="22"/>
          <w:szCs w:val="24"/>
          <w:u w:val="single"/>
        </w:rPr>
      </w:pPr>
      <w:r>
        <w:rPr>
          <w:b/>
          <w:sz w:val="22"/>
          <w:szCs w:val="24"/>
          <w:u w:val="single"/>
        </w:rPr>
        <w:t>SDNP/25/00391/CND</w:t>
      </w:r>
    </w:p>
    <w:p w14:paraId="5B2AEA98" w14:textId="77777777" w:rsidR="00446273" w:rsidRDefault="00446273">
      <w:pPr>
        <w:rPr>
          <w:sz w:val="22"/>
          <w:szCs w:val="24"/>
        </w:rPr>
      </w:pPr>
    </w:p>
    <w:p w14:paraId="1876A5C2" w14:textId="77777777" w:rsidR="00446273" w:rsidRDefault="00446273">
      <w:pPr>
        <w:rPr>
          <w:sz w:val="22"/>
          <w:szCs w:val="24"/>
        </w:rPr>
      </w:pPr>
      <w:r>
        <w:rPr>
          <w:rFonts w:cs="Calibri"/>
          <w:sz w:val="22"/>
          <w:szCs w:val="24"/>
        </w:rPr>
        <w:t>Variation of condition 2 (approved plans) to allow minor changes to the west wing garden room and terraced adjacent to the bathhouse external pool for SDNP/23/04867/FUL.</w:t>
      </w:r>
    </w:p>
    <w:p w14:paraId="1AC1C378" w14:textId="77777777" w:rsidR="00446273" w:rsidRDefault="00446273">
      <w:pPr>
        <w:rPr>
          <w:sz w:val="22"/>
          <w:szCs w:val="24"/>
        </w:rPr>
      </w:pPr>
      <w:r>
        <w:rPr>
          <w:rFonts w:cs="Calibri"/>
          <w:sz w:val="22"/>
          <w:szCs w:val="24"/>
        </w:rPr>
        <w:t xml:space="preserve">At  </w:t>
      </w:r>
    </w:p>
    <w:p w14:paraId="16748AB8" w14:textId="77777777" w:rsidR="00446273" w:rsidRDefault="00446273">
      <w:pPr>
        <w:rPr>
          <w:sz w:val="22"/>
          <w:szCs w:val="24"/>
        </w:rPr>
      </w:pPr>
      <w:r>
        <w:rPr>
          <w:rFonts w:cs="Calibri"/>
          <w:sz w:val="22"/>
          <w:szCs w:val="24"/>
        </w:rPr>
        <w:t xml:space="preserve">Hollycombe House , Hollycombe Lane, </w:t>
      </w:r>
      <w:proofErr w:type="spellStart"/>
      <w:r>
        <w:rPr>
          <w:rFonts w:cs="Calibri"/>
          <w:sz w:val="22"/>
          <w:szCs w:val="24"/>
        </w:rPr>
        <w:t>Linch</w:t>
      </w:r>
      <w:proofErr w:type="spellEnd"/>
      <w:r>
        <w:rPr>
          <w:rFonts w:cs="Calibri"/>
          <w:sz w:val="22"/>
          <w:szCs w:val="24"/>
        </w:rPr>
        <w:t>, West Sussex, GU30 7LP</w:t>
      </w:r>
    </w:p>
    <w:p w14:paraId="0FFA6A32" w14:textId="77777777" w:rsidR="00446273" w:rsidRDefault="00446273">
      <w:pPr>
        <w:rPr>
          <w:rFonts w:cs="Calibri"/>
          <w:sz w:val="22"/>
          <w:szCs w:val="24"/>
        </w:rPr>
      </w:pPr>
    </w:p>
    <w:p w14:paraId="14C8C03B" w14:textId="77777777" w:rsidR="00446273" w:rsidRDefault="00446273">
      <w:pPr>
        <w:rPr>
          <w:sz w:val="22"/>
          <w:szCs w:val="24"/>
        </w:rPr>
      </w:pPr>
      <w:r>
        <w:rPr>
          <w:b/>
          <w:sz w:val="22"/>
          <w:szCs w:val="24"/>
        </w:rPr>
        <w:t>Validation Date:</w:t>
      </w:r>
      <w:r>
        <w:rPr>
          <w:rFonts w:cs="Calibri"/>
          <w:sz w:val="22"/>
          <w:szCs w:val="24"/>
        </w:rPr>
        <w:t xml:space="preserve">  </w:t>
      </w:r>
      <w:r>
        <w:rPr>
          <w:sz w:val="22"/>
          <w:szCs w:val="24"/>
        </w:rPr>
        <w:t>31 January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30 January 2025</w:t>
      </w:r>
    </w:p>
    <w:p w14:paraId="74835685" w14:textId="77777777" w:rsidR="00446273" w:rsidRDefault="00446273">
      <w:pPr>
        <w:rPr>
          <w:rFonts w:cs="Calibri"/>
          <w:sz w:val="22"/>
          <w:szCs w:val="24"/>
        </w:rPr>
      </w:pPr>
    </w:p>
    <w:p w14:paraId="6D9B2A45" w14:textId="77777777" w:rsidR="00446273" w:rsidRDefault="00446273">
      <w:pPr>
        <w:rPr>
          <w:b/>
          <w:sz w:val="22"/>
          <w:szCs w:val="24"/>
        </w:rPr>
      </w:pPr>
      <w:r>
        <w:rPr>
          <w:b/>
          <w:sz w:val="22"/>
          <w:szCs w:val="24"/>
        </w:rPr>
        <w:t>Reason for the Direction</w:t>
      </w:r>
      <w:r>
        <w:rPr>
          <w:rFonts w:cs="Calibri"/>
          <w:b/>
          <w:sz w:val="22"/>
          <w:szCs w:val="24"/>
        </w:rPr>
        <w:t>:</w:t>
      </w:r>
    </w:p>
    <w:p w14:paraId="74B17FF1" w14:textId="77777777" w:rsidR="00446273" w:rsidRDefault="00446273">
      <w:pPr>
        <w:rPr>
          <w:sz w:val="22"/>
          <w:szCs w:val="24"/>
        </w:rPr>
      </w:pPr>
      <w:r>
        <w:rPr>
          <w:rFonts w:cs="Calibri"/>
          <w:sz w:val="22"/>
          <w:szCs w:val="24"/>
        </w:rPr>
        <w:t xml:space="preserve">This proposal is for variation of a condition (approved plans) relating to a development which was previously called in by the SDNPA. The current proposal will be handled by the SDNPA in order to ensure the objectives of the original consent are considered and for reasons of </w:t>
      </w:r>
      <w:proofErr w:type="spellStart"/>
      <w:r>
        <w:rPr>
          <w:rFonts w:cs="Calibri"/>
          <w:sz w:val="22"/>
          <w:szCs w:val="24"/>
        </w:rPr>
        <w:t>consistency.This</w:t>
      </w:r>
      <w:proofErr w:type="spellEnd"/>
      <w:r>
        <w:rPr>
          <w:rFonts w:cs="Calibri"/>
          <w:sz w:val="22"/>
          <w:szCs w:val="24"/>
        </w:rPr>
        <w:t xml:space="preserve"> is an application for an Application to Vary of Remove Conditions that requires no formal call in as the principle case was Called in and managed by the National Park.</w:t>
      </w:r>
    </w:p>
    <w:p w14:paraId="58862986" w14:textId="77777777" w:rsidR="00446273" w:rsidRDefault="00446273">
      <w:pPr>
        <w:rPr>
          <w:rFonts w:cs="Calibri"/>
          <w:sz w:val="22"/>
          <w:szCs w:val="24"/>
        </w:rPr>
      </w:pPr>
    </w:p>
    <w:p w14:paraId="2DF3E5F4" w14:textId="77777777" w:rsidR="00446273" w:rsidRDefault="00446273">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"https://planningpublicaccess.southdowns.gov.uk/online-applications/applicationDetails.do?activeTab=summary&amp;keyVal=SQUZXLTUG2Y00"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00C9872E" w14:textId="77777777" w:rsidR="00446273" w:rsidRDefault="00446273">
      <w:pPr>
        <w:rPr>
          <w:rFonts w:cs="Calibri"/>
          <w:sz w:val="22"/>
          <w:szCs w:val="24"/>
        </w:rPr>
      </w:pPr>
      <w:r>
        <w:rPr>
          <w:sz w:val="22"/>
          <w:szCs w:val="24"/>
        </w:rPr>
        <w:fldChar w:fldCharType="end"/>
      </w:r>
    </w:p>
    <w:p w14:paraId="4E539267" w14:textId="77777777" w:rsidR="00446273" w:rsidRDefault="00446273">
      <w:pPr>
        <w:rPr>
          <w:sz w:val="22"/>
          <w:szCs w:val="24"/>
        </w:rPr>
      </w:pPr>
    </w:p>
    <w:p w14:paraId="77245714" w14:textId="77777777" w:rsidR="00446273" w:rsidRDefault="00446273">
      <w:pPr>
        <w:rPr>
          <w:b/>
          <w:sz w:val="22"/>
          <w:szCs w:val="24"/>
          <w:u w:val="single"/>
        </w:rPr>
      </w:pPr>
      <w:r>
        <w:rPr>
          <w:rFonts w:cs="Calibri"/>
          <w:b/>
          <w:sz w:val="22"/>
          <w:szCs w:val="24"/>
          <w:u w:val="single"/>
        </w:rPr>
        <w:t>SDNP/25/00446/DCOND</w:t>
      </w:r>
    </w:p>
    <w:p w14:paraId="482D8184" w14:textId="77777777" w:rsidR="00446273" w:rsidRDefault="00446273">
      <w:pPr>
        <w:rPr>
          <w:rFonts w:cs="Calibri"/>
          <w:sz w:val="22"/>
          <w:szCs w:val="24"/>
        </w:rPr>
      </w:pPr>
    </w:p>
    <w:p w14:paraId="14CE8A7C" w14:textId="77777777" w:rsidR="00446273" w:rsidRDefault="00446273">
      <w:pPr>
        <w:rPr>
          <w:rFonts w:cs="Calibri"/>
          <w:sz w:val="22"/>
          <w:szCs w:val="24"/>
        </w:rPr>
      </w:pPr>
      <w:r>
        <w:rPr>
          <w:sz w:val="22"/>
          <w:szCs w:val="24"/>
        </w:rPr>
        <w:t>Discharge of Condition 11 (External Lighting) for SDNP/21/04041/FUL.</w:t>
      </w:r>
    </w:p>
    <w:p w14:paraId="52A36F3E" w14:textId="77777777" w:rsidR="00446273" w:rsidRDefault="00446273">
      <w:pPr>
        <w:rPr>
          <w:rFonts w:cs="Calibri"/>
          <w:sz w:val="22"/>
          <w:szCs w:val="24"/>
        </w:rPr>
      </w:pPr>
      <w:r>
        <w:rPr>
          <w:sz w:val="22"/>
          <w:szCs w:val="24"/>
        </w:rPr>
        <w:t xml:space="preserve">At  </w:t>
      </w:r>
    </w:p>
    <w:p w14:paraId="62EF8034" w14:textId="77777777" w:rsidR="00446273" w:rsidRDefault="00446273">
      <w:pPr>
        <w:rPr>
          <w:rFonts w:cs="Calibri"/>
          <w:sz w:val="22"/>
          <w:szCs w:val="24"/>
        </w:rPr>
      </w:pPr>
      <w:proofErr w:type="spellStart"/>
      <w:r>
        <w:rPr>
          <w:sz w:val="22"/>
          <w:szCs w:val="24"/>
        </w:rPr>
        <w:t>Easebourne</w:t>
      </w:r>
      <w:proofErr w:type="spellEnd"/>
      <w:r>
        <w:rPr>
          <w:sz w:val="22"/>
          <w:szCs w:val="24"/>
        </w:rPr>
        <w:t xml:space="preserve"> Primary School , </w:t>
      </w:r>
      <w:proofErr w:type="spellStart"/>
      <w:r>
        <w:rPr>
          <w:sz w:val="22"/>
          <w:szCs w:val="24"/>
        </w:rPr>
        <w:t>Easebourne</w:t>
      </w:r>
      <w:proofErr w:type="spellEnd"/>
      <w:r>
        <w:rPr>
          <w:sz w:val="22"/>
          <w:szCs w:val="24"/>
        </w:rPr>
        <w:t xml:space="preserve"> Street, </w:t>
      </w:r>
      <w:proofErr w:type="spellStart"/>
      <w:r>
        <w:rPr>
          <w:sz w:val="22"/>
          <w:szCs w:val="24"/>
        </w:rPr>
        <w:t>Easebourne</w:t>
      </w:r>
      <w:proofErr w:type="spellEnd"/>
      <w:r>
        <w:rPr>
          <w:sz w:val="22"/>
          <w:szCs w:val="24"/>
        </w:rPr>
        <w:t>, West Sussex, GU29 0BD</w:t>
      </w:r>
    </w:p>
    <w:p w14:paraId="19162D33" w14:textId="77777777" w:rsidR="00446273" w:rsidRDefault="00446273">
      <w:pPr>
        <w:rPr>
          <w:sz w:val="22"/>
          <w:szCs w:val="24"/>
        </w:rPr>
      </w:pPr>
    </w:p>
    <w:p w14:paraId="02D0BCFF" w14:textId="77777777" w:rsidR="00446273" w:rsidRDefault="00446273">
      <w:pPr>
        <w:rPr>
          <w:rFonts w:cs="Calibri"/>
          <w:sz w:val="22"/>
          <w:szCs w:val="24"/>
        </w:rPr>
      </w:pPr>
      <w:r>
        <w:rPr>
          <w:rFonts w:cs="Calibri"/>
          <w:b/>
          <w:sz w:val="22"/>
          <w:szCs w:val="24"/>
        </w:rPr>
        <w:t>Validation Date:</w:t>
      </w:r>
      <w:r>
        <w:rPr>
          <w:sz w:val="22"/>
          <w:szCs w:val="24"/>
        </w:rPr>
        <w:t xml:space="preserve">  </w:t>
      </w:r>
      <w:r>
        <w:rPr>
          <w:rFonts w:cs="Calibri"/>
          <w:sz w:val="22"/>
          <w:szCs w:val="24"/>
        </w:rPr>
        <w:t>3 February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 xml:space="preserve">No call in required. </w:t>
      </w:r>
    </w:p>
    <w:p w14:paraId="1CEF3058" w14:textId="77777777" w:rsidR="00446273" w:rsidRDefault="00446273">
      <w:pPr>
        <w:rPr>
          <w:sz w:val="22"/>
          <w:szCs w:val="24"/>
        </w:rPr>
      </w:pPr>
    </w:p>
    <w:p w14:paraId="1F1E722B" w14:textId="77777777" w:rsidR="00446273" w:rsidRDefault="00446273">
      <w:pPr>
        <w:rPr>
          <w:rFonts w:cs="Calibri"/>
          <w:b/>
          <w:sz w:val="22"/>
          <w:szCs w:val="24"/>
        </w:rPr>
      </w:pPr>
      <w:r>
        <w:rPr>
          <w:rFonts w:cs="Calibri"/>
          <w:b/>
          <w:sz w:val="22"/>
          <w:szCs w:val="24"/>
        </w:rPr>
        <w:t>Reason for the Direction</w:t>
      </w:r>
      <w:r>
        <w:rPr>
          <w:b/>
          <w:sz w:val="22"/>
          <w:szCs w:val="24"/>
        </w:rPr>
        <w:t>:</w:t>
      </w:r>
    </w:p>
    <w:p w14:paraId="6E0EB010" w14:textId="77777777" w:rsidR="00446273" w:rsidRDefault="00446273">
      <w:pPr>
        <w:rPr>
          <w:sz w:val="22"/>
          <w:szCs w:val="24"/>
        </w:rPr>
      </w:pPr>
    </w:p>
    <w:p w14:paraId="44854ADA" w14:textId="77777777" w:rsidR="00446273" w:rsidRDefault="00446273">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"https://planningpublicaccess.southdowns.gov.uk/online-applications/applicationDetails.do?activeTab=summary&amp;keyVal=SQYJNNTUG5M00"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48955C8B" w14:textId="77777777" w:rsidR="00446273" w:rsidRDefault="00446273">
      <w:pPr>
        <w:rPr>
          <w:sz w:val="22"/>
          <w:szCs w:val="24"/>
        </w:rPr>
      </w:pPr>
      <w:r>
        <w:rPr>
          <w:rFonts w:cs="Calibri"/>
          <w:sz w:val="22"/>
          <w:szCs w:val="24"/>
        </w:rPr>
        <w:fldChar w:fldCharType="end"/>
      </w:r>
    </w:p>
    <w:p w14:paraId="250C280D" w14:textId="77777777" w:rsidR="00446273" w:rsidRDefault="00446273">
      <w:pPr>
        <w:rPr>
          <w:rFonts w:cs="Calibri"/>
          <w:sz w:val="22"/>
          <w:szCs w:val="24"/>
        </w:rPr>
      </w:pPr>
    </w:p>
    <w:p w14:paraId="5E692F3F" w14:textId="77777777" w:rsidR="00446273" w:rsidRDefault="00446273">
      <w:pPr>
        <w:rPr>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388E4" w14:textId="77777777" w:rsidR="00446273" w:rsidRDefault="00446273">
      <w:r>
        <w:separator/>
      </w:r>
    </w:p>
  </w:endnote>
  <w:endnote w:type="continuationSeparator" w:id="0">
    <w:p w14:paraId="3E3559D2" w14:textId="77777777" w:rsidR="00446273" w:rsidRDefault="0044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AFF4" w14:textId="77777777" w:rsidR="00446273" w:rsidRDefault="00446273">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4463" w14:textId="77777777" w:rsidR="00446273" w:rsidRDefault="00446273">
      <w:r>
        <w:separator/>
      </w:r>
    </w:p>
  </w:footnote>
  <w:footnote w:type="continuationSeparator" w:id="0">
    <w:p w14:paraId="0A755281" w14:textId="77777777" w:rsidR="00446273" w:rsidRDefault="0044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2F5881"/>
    <w:rsid w:val="003C32FC"/>
    <w:rsid w:val="00446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94D92"/>
  <w14:defaultImageDpi w14:val="0"/>
  <w15:docId w15:val="{E64BC01B-CA29-45C4-8D7B-16550863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2025-02-03T19:58:00Z</dcterms:created>
  <dcterms:modified xsi:type="dcterms:W3CDTF">2025-02-03T19:58:00Z</dcterms:modified>
</cp:coreProperties>
</file>