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64FD6" w14:textId="77777777" w:rsidR="00A423AB" w:rsidRDefault="00A423AB">
      <w:pPr>
        <w:rPr>
          <w:sz w:val="22"/>
          <w:szCs w:val="24"/>
        </w:rPr>
      </w:pPr>
    </w:p>
    <w:p w14:paraId="5CE1A001" w14:textId="77777777" w:rsidR="00A423AB" w:rsidRDefault="00A423AB">
      <w:pPr>
        <w:rPr>
          <w:rFonts w:cs="Calibri"/>
          <w:sz w:val="22"/>
          <w:szCs w:val="24"/>
        </w:rPr>
      </w:pPr>
    </w:p>
    <w:p w14:paraId="56C42958" w14:textId="77777777" w:rsidR="00A423AB" w:rsidRDefault="00A423AB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List of called in applications for the week ending 09.09.2024</w:t>
      </w:r>
    </w:p>
    <w:p w14:paraId="3E72ECC9" w14:textId="77777777" w:rsidR="00A423AB" w:rsidRDefault="00A423AB">
      <w:pPr>
        <w:rPr>
          <w:sz w:val="22"/>
          <w:szCs w:val="24"/>
        </w:rPr>
      </w:pPr>
    </w:p>
    <w:p w14:paraId="59F2B05D" w14:textId="77777777" w:rsidR="00A423AB" w:rsidRDefault="00A423AB">
      <w:pPr>
        <w:rPr>
          <w:rFonts w:cs="Calibri"/>
          <w:sz w:val="22"/>
          <w:szCs w:val="24"/>
        </w:rPr>
      </w:pPr>
    </w:p>
    <w:p w14:paraId="4E64B55A" w14:textId="77777777" w:rsidR="00A423AB" w:rsidRDefault="00A423AB">
      <w:pPr>
        <w:rPr>
          <w:rFonts w:cs="Calibri"/>
          <w:b/>
          <w:sz w:val="22"/>
          <w:szCs w:val="24"/>
          <w:u w:val="single"/>
        </w:rPr>
      </w:pPr>
      <w:r>
        <w:rPr>
          <w:b/>
          <w:sz w:val="22"/>
          <w:szCs w:val="24"/>
          <w:u w:val="single"/>
        </w:rPr>
        <w:t>SDNP/24/03248/FUL</w:t>
      </w:r>
    </w:p>
    <w:p w14:paraId="088E282C" w14:textId="77777777" w:rsidR="00A423AB" w:rsidRDefault="00A423AB">
      <w:pPr>
        <w:rPr>
          <w:sz w:val="22"/>
          <w:szCs w:val="24"/>
        </w:rPr>
      </w:pPr>
    </w:p>
    <w:p w14:paraId="50A7D7BB" w14:textId="77777777" w:rsidR="00A423AB" w:rsidRDefault="00A423AB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Erection of 10 x residential dwellings, creation of new vehicular access, provision of footpath link, and associated landscaping / infrastructure.</w:t>
      </w:r>
    </w:p>
    <w:p w14:paraId="520C002B" w14:textId="77777777" w:rsidR="00A423AB" w:rsidRDefault="00A423AB">
      <w:pPr>
        <w:rPr>
          <w:sz w:val="22"/>
          <w:szCs w:val="24"/>
        </w:rPr>
      </w:pPr>
      <w:r>
        <w:rPr>
          <w:rFonts w:cs="Calibri"/>
          <w:sz w:val="22"/>
          <w:szCs w:val="24"/>
        </w:rPr>
        <w:t xml:space="preserve">At  </w:t>
      </w:r>
    </w:p>
    <w:p w14:paraId="316F464B" w14:textId="77777777" w:rsidR="00A423AB" w:rsidRDefault="00A423AB">
      <w:pPr>
        <w:rPr>
          <w:rFonts w:cs="Calibri"/>
          <w:sz w:val="22"/>
          <w:szCs w:val="24"/>
        </w:rPr>
      </w:pPr>
    </w:p>
    <w:p w14:paraId="14E86877" w14:textId="77777777" w:rsidR="00A423AB" w:rsidRDefault="00A423AB">
      <w:pPr>
        <w:rPr>
          <w:rFonts w:cs="Calibri"/>
          <w:sz w:val="22"/>
          <w:szCs w:val="24"/>
        </w:rPr>
      </w:pPr>
      <w:r>
        <w:rPr>
          <w:sz w:val="22"/>
          <w:szCs w:val="24"/>
        </w:rPr>
        <w:t xml:space="preserve">Land South of, Clements Close, Binsted, Alton, Hampshire, </w:t>
      </w:r>
    </w:p>
    <w:p w14:paraId="32FC6011" w14:textId="77777777" w:rsidR="00A423AB" w:rsidRDefault="00A423AB">
      <w:pPr>
        <w:rPr>
          <w:sz w:val="22"/>
          <w:szCs w:val="24"/>
        </w:rPr>
      </w:pPr>
    </w:p>
    <w:p w14:paraId="16FE46EB" w14:textId="77777777" w:rsidR="00A423AB" w:rsidRDefault="00A423AB">
      <w:pPr>
        <w:rPr>
          <w:rFonts w:cs="Calibri"/>
          <w:sz w:val="22"/>
          <w:szCs w:val="24"/>
        </w:rPr>
      </w:pPr>
    </w:p>
    <w:p w14:paraId="33F35793" w14:textId="77777777" w:rsidR="00A423AB" w:rsidRDefault="00A423AB">
      <w:pPr>
        <w:rPr>
          <w:sz w:val="22"/>
          <w:szCs w:val="24"/>
        </w:rPr>
      </w:pPr>
      <w:r>
        <w:rPr>
          <w:b/>
          <w:sz w:val="22"/>
          <w:szCs w:val="24"/>
        </w:rPr>
        <w:t>Validation Date:</w:t>
      </w:r>
      <w:r>
        <w:rPr>
          <w:rFonts w:cs="Calibri"/>
          <w:sz w:val="22"/>
          <w:szCs w:val="24"/>
        </w:rPr>
        <w:tab/>
        <w:t>5 September 2024</w:t>
      </w:r>
    </w:p>
    <w:p w14:paraId="197370B5" w14:textId="77777777" w:rsidR="00A423AB" w:rsidRDefault="00A423AB">
      <w:pPr>
        <w:rPr>
          <w:rFonts w:cs="Calibri"/>
          <w:sz w:val="22"/>
          <w:szCs w:val="24"/>
        </w:rPr>
      </w:pPr>
    </w:p>
    <w:p w14:paraId="7CB77C1C" w14:textId="77777777" w:rsidR="00A423AB" w:rsidRDefault="00A423AB">
      <w:pPr>
        <w:rPr>
          <w:sz w:val="22"/>
          <w:szCs w:val="24"/>
        </w:rPr>
      </w:pPr>
      <w:r>
        <w:rPr>
          <w:b/>
          <w:sz w:val="22"/>
          <w:szCs w:val="24"/>
        </w:rPr>
        <w:t>Date of Direction:</w:t>
      </w:r>
      <w:r>
        <w:rPr>
          <w:rFonts w:cs="Calibri"/>
          <w:sz w:val="22"/>
          <w:szCs w:val="24"/>
        </w:rPr>
        <w:t xml:space="preserve"> </w:t>
      </w:r>
      <w:r>
        <w:rPr>
          <w:rFonts w:cs="Calibri"/>
          <w:sz w:val="22"/>
          <w:szCs w:val="24"/>
        </w:rPr>
        <w:tab/>
        <w:t>7 August 2024</w:t>
      </w:r>
    </w:p>
    <w:p w14:paraId="26212C65" w14:textId="77777777" w:rsidR="00A423AB" w:rsidRDefault="00A423AB">
      <w:pPr>
        <w:rPr>
          <w:rFonts w:cs="Calibri"/>
          <w:sz w:val="22"/>
          <w:szCs w:val="24"/>
        </w:rPr>
      </w:pPr>
    </w:p>
    <w:p w14:paraId="61B0D9A9" w14:textId="77777777" w:rsidR="00A423AB" w:rsidRDefault="00A423AB">
      <w:pPr>
        <w:rPr>
          <w:rFonts w:cs="Calibri"/>
          <w:b/>
          <w:sz w:val="22"/>
          <w:szCs w:val="24"/>
        </w:rPr>
      </w:pPr>
      <w:r>
        <w:rPr>
          <w:b/>
          <w:sz w:val="22"/>
          <w:szCs w:val="24"/>
        </w:rPr>
        <w:t>Reason for the Direction</w:t>
      </w:r>
    </w:p>
    <w:p w14:paraId="589B005C" w14:textId="77777777" w:rsidR="00A423AB" w:rsidRDefault="00A423AB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The application proposes ten new dwellings in the rural area outside of a settlement policy boundary. It may consequently have the potential to be significant in terms of its implications for the natural beauty, wildlife and/or cultural heritage of the South Downs National Park which constitute the statutory purposes for which the South Downs National Park has been designated.</w:t>
      </w:r>
    </w:p>
    <w:p w14:paraId="4D69ACB4" w14:textId="77777777" w:rsidR="00A423AB" w:rsidRDefault="00A423AB">
      <w:pPr>
        <w:rPr>
          <w:sz w:val="22"/>
          <w:szCs w:val="24"/>
        </w:rPr>
      </w:pPr>
    </w:p>
    <w:p w14:paraId="6A1342B7" w14:textId="77777777" w:rsidR="00A423AB" w:rsidRDefault="00A423AB">
      <w:pPr>
        <w:rPr>
          <w:rFonts w:cs="Calibri"/>
          <w:color w:val="0000FF"/>
          <w:szCs w:val="24"/>
          <w:u w:val="single"/>
        </w:rPr>
      </w:pPr>
      <w:r>
        <w:rPr>
          <w:rFonts w:cs="Calibri"/>
          <w:sz w:val="22"/>
          <w:szCs w:val="24"/>
        </w:rPr>
        <w:fldChar w:fldCharType="begin"/>
      </w:r>
      <w:r>
        <w:rPr>
          <w:rFonts w:cs="Calibri"/>
          <w:sz w:val="22"/>
          <w:szCs w:val="24"/>
        </w:rPr>
        <w:instrText>HYPERLINK "https://planningpublicaccess.southdowns.gov.uk/online-applications/applicationDetails.do?activeTab=summary&amp;keyVal=SHSXPSTUJ0Q00"</w:instrText>
      </w:r>
      <w:r>
        <w:rPr>
          <w:rFonts w:cs="Calibri"/>
          <w:sz w:val="22"/>
          <w:szCs w:val="24"/>
        </w:rPr>
      </w:r>
      <w:r>
        <w:rPr>
          <w:rFonts w:cs="Calibri"/>
          <w:sz w:val="22"/>
          <w:szCs w:val="24"/>
        </w:rPr>
        <w:fldChar w:fldCharType="separate"/>
      </w:r>
      <w:r>
        <w:rPr>
          <w:rStyle w:val="Hyperlink"/>
          <w:rFonts w:ascii="Gill Sans MT" w:hAnsi="Gill Sans MT" w:cs="Gill Sans MT"/>
          <w:szCs w:val="24"/>
        </w:rPr>
        <w:t>View the case on public access</w:t>
      </w:r>
    </w:p>
    <w:p w14:paraId="7FF351B3" w14:textId="77777777" w:rsidR="00A423AB" w:rsidRDefault="00A423AB">
      <w:pPr>
        <w:rPr>
          <w:sz w:val="22"/>
          <w:szCs w:val="24"/>
        </w:rPr>
      </w:pPr>
      <w:r>
        <w:rPr>
          <w:rFonts w:cs="Calibri"/>
          <w:sz w:val="22"/>
          <w:szCs w:val="24"/>
        </w:rPr>
        <w:fldChar w:fldCharType="end"/>
      </w:r>
    </w:p>
    <w:p w14:paraId="34923D75" w14:textId="77777777" w:rsidR="00A423AB" w:rsidRDefault="00A423AB">
      <w:pPr>
        <w:rPr>
          <w:rFonts w:cs="Calibri"/>
          <w:sz w:val="22"/>
          <w:szCs w:val="24"/>
        </w:rPr>
      </w:pPr>
    </w:p>
    <w:p w14:paraId="694C8E0A" w14:textId="77777777" w:rsidR="00A423AB" w:rsidRDefault="00A423AB">
      <w:pPr>
        <w:rPr>
          <w:sz w:val="22"/>
          <w:szCs w:val="24"/>
        </w:rPr>
      </w:pPr>
    </w:p>
    <w:sectPr w:rsidR="00000000">
      <w:footerReference w:type="first" r:id="rId7"/>
      <w:pgSz w:w="11906" w:h="16838"/>
      <w:pgMar w:top="1135" w:right="1016" w:bottom="360" w:left="1440" w:header="709" w:footer="70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72966" w14:textId="77777777" w:rsidR="00A423AB" w:rsidRDefault="00A423AB">
      <w:r>
        <w:separator/>
      </w:r>
    </w:p>
  </w:endnote>
  <w:endnote w:type="continuationSeparator" w:id="0">
    <w:p w14:paraId="4368F77D" w14:textId="77777777" w:rsidR="00A423AB" w:rsidRDefault="00A42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85E05" w14:textId="77777777" w:rsidR="00A423AB" w:rsidRDefault="00A423AB">
    <w:pPr>
      <w:pStyle w:val="Footer"/>
      <w:rPr>
        <w:rFonts w:cs="Calibri"/>
        <w:sz w:val="16"/>
        <w:szCs w:val="24"/>
      </w:rPr>
    </w:pPr>
    <w:r>
      <w:rPr>
        <w:sz w:val="16"/>
        <w:szCs w:val="24"/>
      </w:rPr>
      <w:t>CIWEB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CD108" w14:textId="77777777" w:rsidR="00A423AB" w:rsidRDefault="00A423AB">
      <w:r>
        <w:separator/>
      </w:r>
    </w:p>
  </w:footnote>
  <w:footnote w:type="continuationSeparator" w:id="0">
    <w:p w14:paraId="2980C2D4" w14:textId="77777777" w:rsidR="00A423AB" w:rsidRDefault="00A42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2B5"/>
    <w:rsid w:val="000642B5"/>
    <w:rsid w:val="002F72BA"/>
    <w:rsid w:val="00A4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BA9CCB"/>
  <w14:defaultImageDpi w14:val="0"/>
  <w15:docId w15:val="{48E0689F-BC6A-48D1-A9C5-E3DD1426D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sz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Cs w:val="16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Cs w:val="20"/>
    </w:rPr>
  </w:style>
  <w:style w:type="paragraph" w:customStyle="1" w:styleId="Normal0">
    <w:name w:val="[Normal]"/>
    <w:basedOn w:val="Normal"/>
    <w:uiPriority w:val="99"/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rPr>
      <w:rFonts w:ascii="Verdana" w:hAnsi="Verdana" w:cs="Verdana"/>
      <w:color w:val="000000"/>
      <w:szCs w:val="19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Cs w:val="20"/>
    </w:rPr>
  </w:style>
  <w:style w:type="paragraph" w:customStyle="1" w:styleId="Tabletext">
    <w:name w:val="Table text"/>
    <w:basedOn w:val="Normal"/>
    <w:next w:val="Header"/>
    <w:uiPriority w:val="99"/>
    <w:pPr>
      <w:suppressAutoHyphens/>
      <w:spacing w:before="60" w:after="60" w:line="240" w:lineRule="atLeast"/>
    </w:pPr>
    <w:rPr>
      <w:rFonts w:ascii="Arial" w:hAnsi="Arial" w:cs="Arial"/>
      <w:szCs w:val="20"/>
    </w:rPr>
  </w:style>
  <w:style w:type="paragraph" w:styleId="BodyText">
    <w:name w:val="Body Text"/>
    <w:basedOn w:val="Normal"/>
    <w:next w:val="Tabletext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Gill Sans MT" w:hAnsi="Gill Sans MT" w:cs="Gill Sans MT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hAnsi="Times New Roman" w:cs="Times New Roman"/>
      <w:bCs/>
      <w:szCs w:val="20"/>
    </w:rPr>
  </w:style>
  <w:style w:type="character" w:styleId="LineNumber">
    <w:name w:val="line number"/>
    <w:basedOn w:val="DefaultParagraphFont"/>
    <w:uiPriority w:val="99"/>
    <w:rPr>
      <w:rFonts w:cs="Times New Roman"/>
      <w:szCs w:val="22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Cs w:val="16"/>
    </w:rPr>
  </w:style>
  <w:style w:type="table" w:styleId="TableSimple1">
    <w:name w:val="Table Simple 1"/>
    <w:basedOn w:val="TableNormal"/>
    <w:uiPriority w:val="99"/>
    <w:pPr>
      <w:widowControl w:val="0"/>
      <w:autoSpaceDE w:val="0"/>
      <w:autoSpaceDN w:val="0"/>
      <w:adjustRightInd w:val="0"/>
      <w:spacing w:after="0"/>
    </w:pPr>
    <w:rPr>
      <w:rFonts w:ascii="Calibri" w:hAnsi="Calibr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subject/>
  <dc:creator>xsdnpacl</dc:creator>
  <cp:keywords/>
  <dc:description/>
  <cp:lastModifiedBy>Kimberley Gammon</cp:lastModifiedBy>
  <cp:revision>2</cp:revision>
  <cp:lastPrinted>2011-05-06T08:56:00Z</cp:lastPrinted>
  <dcterms:created xsi:type="dcterms:W3CDTF">2024-09-09T17:40:00Z</dcterms:created>
  <dcterms:modified xsi:type="dcterms:W3CDTF">2024-09-09T17:40:00Z</dcterms:modified>
</cp:coreProperties>
</file>