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6C3F8C" w14:textId="77777777" w:rsidR="00906B1B" w:rsidRDefault="00906B1B">
      <w:pPr>
        <w:rPr>
          <w:sz w:val="22"/>
          <w:szCs w:val="24"/>
        </w:rPr>
      </w:pPr>
    </w:p>
    <w:p w14:paraId="14CEBDFF" w14:textId="77777777" w:rsidR="00906B1B" w:rsidRDefault="00906B1B">
      <w:pPr>
        <w:rPr>
          <w:rFonts w:cs="Calibri"/>
          <w:sz w:val="22"/>
          <w:szCs w:val="24"/>
        </w:rPr>
      </w:pPr>
    </w:p>
    <w:p w14:paraId="5A5B94D6" w14:textId="77777777" w:rsidR="00906B1B" w:rsidRDefault="00906B1B">
      <w:pPr>
        <w:rPr>
          <w:rFonts w:cs="Calibri"/>
          <w:sz w:val="22"/>
          <w:szCs w:val="24"/>
        </w:rPr>
      </w:pPr>
      <w:r>
        <w:rPr>
          <w:sz w:val="22"/>
          <w:szCs w:val="24"/>
        </w:rPr>
        <w:t>List of called in applications for the week ending 17.06.2024</w:t>
      </w:r>
    </w:p>
    <w:p w14:paraId="0669AE3D" w14:textId="77777777" w:rsidR="00906B1B" w:rsidRDefault="00906B1B">
      <w:pPr>
        <w:rPr>
          <w:sz w:val="22"/>
          <w:szCs w:val="24"/>
        </w:rPr>
      </w:pPr>
    </w:p>
    <w:p w14:paraId="1F4DFB22" w14:textId="77777777" w:rsidR="00906B1B" w:rsidRDefault="00906B1B">
      <w:pPr>
        <w:rPr>
          <w:rFonts w:cs="Calibri"/>
          <w:sz w:val="22"/>
          <w:szCs w:val="24"/>
        </w:rPr>
      </w:pPr>
    </w:p>
    <w:p w14:paraId="0DA7F7D5" w14:textId="77777777" w:rsidR="00906B1B" w:rsidRDefault="00906B1B">
      <w:pPr>
        <w:rPr>
          <w:rFonts w:cs="Calibri"/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>SDNP/24/02344/DCOND</w:t>
      </w:r>
    </w:p>
    <w:p w14:paraId="7FDB6DDB" w14:textId="77777777" w:rsidR="00906B1B" w:rsidRDefault="00906B1B">
      <w:pPr>
        <w:rPr>
          <w:sz w:val="22"/>
          <w:szCs w:val="24"/>
        </w:rPr>
      </w:pPr>
    </w:p>
    <w:p w14:paraId="201275B4" w14:textId="77777777" w:rsidR="00906B1B" w:rsidRDefault="00906B1B">
      <w:pPr>
        <w:rPr>
          <w:sz w:val="22"/>
          <w:szCs w:val="24"/>
        </w:rPr>
      </w:pPr>
      <w:r>
        <w:rPr>
          <w:rFonts w:cs="Calibri"/>
          <w:sz w:val="22"/>
          <w:szCs w:val="24"/>
        </w:rPr>
        <w:t>Discharge of conditions 3 (Event Management Plan) and condition 6 (Archaeology) for SDNP/18/06249/FUL.</w:t>
      </w:r>
    </w:p>
    <w:p w14:paraId="7F3A39B4" w14:textId="77777777" w:rsidR="00906B1B" w:rsidRDefault="00906B1B">
      <w:pPr>
        <w:rPr>
          <w:sz w:val="22"/>
          <w:szCs w:val="24"/>
        </w:rPr>
      </w:pPr>
      <w:r>
        <w:rPr>
          <w:rFonts w:cs="Calibri"/>
          <w:sz w:val="22"/>
          <w:szCs w:val="24"/>
        </w:rPr>
        <w:t xml:space="preserve">At  </w:t>
      </w:r>
    </w:p>
    <w:p w14:paraId="77C49AE2" w14:textId="77777777" w:rsidR="00906B1B" w:rsidRDefault="00906B1B">
      <w:pPr>
        <w:rPr>
          <w:rFonts w:cs="Calibri"/>
          <w:sz w:val="22"/>
          <w:szCs w:val="24"/>
        </w:rPr>
      </w:pPr>
    </w:p>
    <w:p w14:paraId="4C76D0E7" w14:textId="77777777" w:rsidR="00906B1B" w:rsidRDefault="00906B1B">
      <w:pPr>
        <w:rPr>
          <w:rFonts w:cs="Calibri"/>
          <w:sz w:val="22"/>
          <w:szCs w:val="24"/>
        </w:rPr>
      </w:pPr>
      <w:r>
        <w:rPr>
          <w:sz w:val="22"/>
          <w:szCs w:val="24"/>
        </w:rPr>
        <w:t>Matterley Farm , Alresford Road, Ovington, Hampshire, SO21 1HW</w:t>
      </w:r>
    </w:p>
    <w:p w14:paraId="0539110D" w14:textId="77777777" w:rsidR="00906B1B" w:rsidRDefault="00906B1B">
      <w:pPr>
        <w:rPr>
          <w:sz w:val="22"/>
          <w:szCs w:val="24"/>
        </w:rPr>
      </w:pPr>
    </w:p>
    <w:p w14:paraId="794FDF1C" w14:textId="77777777" w:rsidR="00906B1B" w:rsidRDefault="00906B1B">
      <w:pPr>
        <w:rPr>
          <w:rFonts w:cs="Calibri"/>
          <w:sz w:val="22"/>
          <w:szCs w:val="24"/>
        </w:rPr>
      </w:pPr>
    </w:p>
    <w:p w14:paraId="082F28A4" w14:textId="77777777" w:rsidR="00906B1B" w:rsidRDefault="00906B1B">
      <w:pPr>
        <w:rPr>
          <w:sz w:val="22"/>
          <w:szCs w:val="24"/>
        </w:rPr>
      </w:pPr>
      <w:r>
        <w:rPr>
          <w:b/>
          <w:sz w:val="22"/>
          <w:szCs w:val="24"/>
        </w:rPr>
        <w:t>Validation Date:</w:t>
      </w:r>
      <w:r>
        <w:rPr>
          <w:rFonts w:cs="Calibri"/>
          <w:sz w:val="22"/>
          <w:szCs w:val="24"/>
        </w:rPr>
        <w:tab/>
        <w:t>10 June 2024</w:t>
      </w:r>
    </w:p>
    <w:p w14:paraId="1436CB9C" w14:textId="77777777" w:rsidR="00906B1B" w:rsidRDefault="00906B1B">
      <w:pPr>
        <w:rPr>
          <w:rFonts w:cs="Calibri"/>
          <w:sz w:val="22"/>
          <w:szCs w:val="24"/>
        </w:rPr>
      </w:pPr>
    </w:p>
    <w:p w14:paraId="152DE3B6" w14:textId="77777777" w:rsidR="00906B1B" w:rsidRDefault="00906B1B">
      <w:pPr>
        <w:rPr>
          <w:sz w:val="22"/>
          <w:szCs w:val="24"/>
        </w:rPr>
      </w:pPr>
      <w:r>
        <w:rPr>
          <w:b/>
          <w:sz w:val="22"/>
          <w:szCs w:val="24"/>
        </w:rPr>
        <w:t>Date of Direction:</w:t>
      </w:r>
      <w:r>
        <w:rPr>
          <w:rFonts w:cs="Calibri"/>
          <w:sz w:val="22"/>
          <w:szCs w:val="24"/>
        </w:rPr>
        <w:t xml:space="preserve"> </w:t>
      </w:r>
      <w:r>
        <w:rPr>
          <w:rFonts w:cs="Calibri"/>
          <w:sz w:val="22"/>
          <w:szCs w:val="24"/>
        </w:rPr>
        <w:tab/>
        <w:t xml:space="preserve">No call in required. </w:t>
      </w:r>
    </w:p>
    <w:p w14:paraId="1C856DE6" w14:textId="77777777" w:rsidR="00906B1B" w:rsidRDefault="00906B1B">
      <w:pPr>
        <w:rPr>
          <w:rFonts w:cs="Calibri"/>
          <w:sz w:val="22"/>
          <w:szCs w:val="24"/>
        </w:rPr>
      </w:pPr>
    </w:p>
    <w:p w14:paraId="45D5CD8C" w14:textId="77777777" w:rsidR="00906B1B" w:rsidRDefault="00906B1B">
      <w:pPr>
        <w:rPr>
          <w:rFonts w:cs="Calibri"/>
          <w:b/>
          <w:sz w:val="22"/>
          <w:szCs w:val="24"/>
        </w:rPr>
      </w:pPr>
      <w:r>
        <w:rPr>
          <w:b/>
          <w:sz w:val="22"/>
          <w:szCs w:val="24"/>
        </w:rPr>
        <w:t>Reason for the Direction</w:t>
      </w:r>
    </w:p>
    <w:p w14:paraId="363B4828" w14:textId="77777777" w:rsidR="00906B1B" w:rsidRDefault="00906B1B">
      <w:pPr>
        <w:rPr>
          <w:sz w:val="22"/>
          <w:szCs w:val="24"/>
        </w:rPr>
      </w:pPr>
    </w:p>
    <w:p w14:paraId="1B4BE746" w14:textId="77777777" w:rsidR="00906B1B" w:rsidRDefault="00906B1B">
      <w:pPr>
        <w:rPr>
          <w:rFonts w:cs="Calibri"/>
          <w:color w:val="0000FF"/>
          <w:szCs w:val="24"/>
          <w:u w:val="single"/>
        </w:rPr>
      </w:pPr>
      <w:r>
        <w:rPr>
          <w:rFonts w:cs="Calibri"/>
          <w:sz w:val="22"/>
          <w:szCs w:val="24"/>
        </w:rPr>
        <w:fldChar w:fldCharType="begin"/>
      </w:r>
      <w:r>
        <w:rPr>
          <w:rFonts w:cs="Calibri"/>
          <w:sz w:val="22"/>
          <w:szCs w:val="24"/>
        </w:rPr>
        <w:instrText>HYPERLINK "https://planningpublicaccess.southdowns.gov.uk/online-applications/applicationDetails.do?activeTab=summary&amp;keyVal=SEPGIYTUHBW00"</w:instrText>
      </w:r>
      <w:r>
        <w:rPr>
          <w:rFonts w:cs="Calibri"/>
          <w:sz w:val="22"/>
          <w:szCs w:val="24"/>
        </w:rPr>
      </w:r>
      <w:r>
        <w:rPr>
          <w:rFonts w:cs="Calibri"/>
          <w:sz w:val="22"/>
          <w:szCs w:val="24"/>
        </w:rPr>
        <w:fldChar w:fldCharType="separate"/>
      </w:r>
      <w:r>
        <w:rPr>
          <w:rStyle w:val="Hyperlink"/>
          <w:rFonts w:ascii="Gill Sans MT" w:hAnsi="Gill Sans MT" w:cs="Gill Sans MT"/>
          <w:szCs w:val="24"/>
        </w:rPr>
        <w:t>View the case on public access</w:t>
      </w:r>
    </w:p>
    <w:p w14:paraId="49F41982" w14:textId="77777777" w:rsidR="00906B1B" w:rsidRDefault="00906B1B">
      <w:pPr>
        <w:rPr>
          <w:sz w:val="22"/>
          <w:szCs w:val="24"/>
        </w:rPr>
      </w:pPr>
      <w:r>
        <w:rPr>
          <w:rFonts w:cs="Calibri"/>
          <w:sz w:val="22"/>
          <w:szCs w:val="24"/>
        </w:rPr>
        <w:fldChar w:fldCharType="end"/>
      </w:r>
    </w:p>
    <w:p w14:paraId="34836918" w14:textId="77777777" w:rsidR="00906B1B" w:rsidRDefault="00906B1B">
      <w:pPr>
        <w:rPr>
          <w:rFonts w:cs="Calibri"/>
          <w:sz w:val="22"/>
          <w:szCs w:val="24"/>
        </w:rPr>
      </w:pPr>
    </w:p>
    <w:p w14:paraId="30638188" w14:textId="77777777" w:rsidR="00906B1B" w:rsidRDefault="00906B1B">
      <w:pPr>
        <w:rPr>
          <w:sz w:val="22"/>
          <w:szCs w:val="24"/>
        </w:rPr>
      </w:pPr>
    </w:p>
    <w:p w14:paraId="746D00A4" w14:textId="77777777" w:rsidR="00906B1B" w:rsidRDefault="00906B1B">
      <w:pPr>
        <w:rPr>
          <w:b/>
          <w:sz w:val="22"/>
          <w:szCs w:val="24"/>
          <w:u w:val="single"/>
        </w:rPr>
      </w:pPr>
      <w:r>
        <w:rPr>
          <w:rFonts w:cs="Calibri"/>
          <w:b/>
          <w:sz w:val="22"/>
          <w:szCs w:val="24"/>
          <w:u w:val="single"/>
        </w:rPr>
        <w:t>SDNP/24/02353/DCOND</w:t>
      </w:r>
    </w:p>
    <w:p w14:paraId="14BE834D" w14:textId="77777777" w:rsidR="00906B1B" w:rsidRDefault="00906B1B">
      <w:pPr>
        <w:rPr>
          <w:rFonts w:cs="Calibri"/>
          <w:sz w:val="22"/>
          <w:szCs w:val="24"/>
        </w:rPr>
      </w:pPr>
    </w:p>
    <w:p w14:paraId="6BBFCDDA" w14:textId="77777777" w:rsidR="00906B1B" w:rsidRDefault="00906B1B">
      <w:pPr>
        <w:rPr>
          <w:rFonts w:cs="Calibri"/>
          <w:sz w:val="22"/>
          <w:szCs w:val="24"/>
        </w:rPr>
      </w:pPr>
      <w:r>
        <w:rPr>
          <w:sz w:val="22"/>
          <w:szCs w:val="24"/>
        </w:rPr>
        <w:t>Discharge of condition CONDITION 31 (Archaeology), CONDITION 38 (Cycle Stores) and CONDITION 39 (EV Charging) for SDNP/23/02033/CND.</w:t>
      </w:r>
    </w:p>
    <w:p w14:paraId="38491CD5" w14:textId="77777777" w:rsidR="00906B1B" w:rsidRDefault="00906B1B">
      <w:pPr>
        <w:rPr>
          <w:rFonts w:cs="Calibri"/>
          <w:sz w:val="22"/>
          <w:szCs w:val="24"/>
        </w:rPr>
      </w:pPr>
      <w:r>
        <w:rPr>
          <w:sz w:val="22"/>
          <w:szCs w:val="24"/>
        </w:rPr>
        <w:t xml:space="preserve">At  </w:t>
      </w:r>
    </w:p>
    <w:p w14:paraId="67E3DBF0" w14:textId="77777777" w:rsidR="00906B1B" w:rsidRDefault="00906B1B">
      <w:pPr>
        <w:rPr>
          <w:sz w:val="22"/>
          <w:szCs w:val="24"/>
        </w:rPr>
      </w:pPr>
    </w:p>
    <w:p w14:paraId="2B7967BF" w14:textId="77777777" w:rsidR="00906B1B" w:rsidRDefault="00906B1B">
      <w:pPr>
        <w:rPr>
          <w:sz w:val="22"/>
          <w:szCs w:val="24"/>
        </w:rPr>
      </w:pPr>
      <w:r>
        <w:rPr>
          <w:rFonts w:cs="Calibri"/>
          <w:sz w:val="22"/>
          <w:szCs w:val="24"/>
        </w:rPr>
        <w:t>Pells Church Of England Primary School , Landport Road, Lewes, East Sussex, BN7 2SU</w:t>
      </w:r>
    </w:p>
    <w:p w14:paraId="6B8DD0E4" w14:textId="77777777" w:rsidR="00906B1B" w:rsidRDefault="00906B1B">
      <w:pPr>
        <w:rPr>
          <w:rFonts w:cs="Calibri"/>
          <w:sz w:val="22"/>
          <w:szCs w:val="24"/>
        </w:rPr>
      </w:pPr>
    </w:p>
    <w:p w14:paraId="3A93B81C" w14:textId="77777777" w:rsidR="00906B1B" w:rsidRDefault="00906B1B">
      <w:pPr>
        <w:rPr>
          <w:sz w:val="22"/>
          <w:szCs w:val="24"/>
        </w:rPr>
      </w:pPr>
    </w:p>
    <w:p w14:paraId="500AD89F" w14:textId="77777777" w:rsidR="00906B1B" w:rsidRDefault="00906B1B">
      <w:pPr>
        <w:rPr>
          <w:rFonts w:cs="Calibri"/>
          <w:sz w:val="22"/>
          <w:szCs w:val="24"/>
        </w:rPr>
      </w:pPr>
      <w:r>
        <w:rPr>
          <w:rFonts w:cs="Calibri"/>
          <w:b/>
          <w:sz w:val="22"/>
          <w:szCs w:val="24"/>
        </w:rPr>
        <w:t>Validation Date:</w:t>
      </w:r>
      <w:r>
        <w:rPr>
          <w:sz w:val="22"/>
          <w:szCs w:val="24"/>
        </w:rPr>
        <w:tab/>
        <w:t>10 June 2024</w:t>
      </w:r>
    </w:p>
    <w:p w14:paraId="4B252C6B" w14:textId="77777777" w:rsidR="00906B1B" w:rsidRDefault="00906B1B">
      <w:pPr>
        <w:rPr>
          <w:sz w:val="22"/>
          <w:szCs w:val="24"/>
        </w:rPr>
      </w:pPr>
    </w:p>
    <w:p w14:paraId="6C25EAD9" w14:textId="77777777" w:rsidR="00906B1B" w:rsidRDefault="00906B1B">
      <w:pPr>
        <w:rPr>
          <w:rFonts w:cs="Calibri"/>
          <w:sz w:val="22"/>
          <w:szCs w:val="24"/>
        </w:rPr>
      </w:pPr>
      <w:r>
        <w:rPr>
          <w:rFonts w:cs="Calibri"/>
          <w:b/>
          <w:sz w:val="22"/>
          <w:szCs w:val="24"/>
        </w:rPr>
        <w:t>Date of Direction:</w:t>
      </w:r>
      <w:r>
        <w:rPr>
          <w:sz w:val="22"/>
          <w:szCs w:val="24"/>
        </w:rPr>
        <w:t xml:space="preserve"> </w:t>
      </w:r>
      <w:r>
        <w:rPr>
          <w:sz w:val="22"/>
          <w:szCs w:val="24"/>
        </w:rPr>
        <w:tab/>
        <w:t xml:space="preserve">No call in required. </w:t>
      </w:r>
    </w:p>
    <w:p w14:paraId="05AF68D8" w14:textId="77777777" w:rsidR="00906B1B" w:rsidRDefault="00906B1B">
      <w:pPr>
        <w:rPr>
          <w:sz w:val="22"/>
          <w:szCs w:val="24"/>
        </w:rPr>
      </w:pPr>
    </w:p>
    <w:p w14:paraId="3555CA10" w14:textId="77777777" w:rsidR="00906B1B" w:rsidRDefault="00906B1B">
      <w:pPr>
        <w:rPr>
          <w:b/>
          <w:sz w:val="22"/>
          <w:szCs w:val="24"/>
        </w:rPr>
      </w:pPr>
      <w:r>
        <w:rPr>
          <w:rFonts w:cs="Calibri"/>
          <w:b/>
          <w:sz w:val="22"/>
          <w:szCs w:val="24"/>
        </w:rPr>
        <w:t>Reason for the Direction</w:t>
      </w:r>
    </w:p>
    <w:p w14:paraId="37358601" w14:textId="77777777" w:rsidR="00906B1B" w:rsidRDefault="00906B1B">
      <w:pPr>
        <w:rPr>
          <w:rFonts w:cs="Calibri"/>
          <w:sz w:val="22"/>
          <w:szCs w:val="24"/>
        </w:rPr>
      </w:pPr>
    </w:p>
    <w:p w14:paraId="1B62A510" w14:textId="77777777" w:rsidR="00906B1B" w:rsidRDefault="00906B1B">
      <w:pPr>
        <w:rPr>
          <w:color w:val="0000FF"/>
          <w:szCs w:val="24"/>
          <w:u w:val="single"/>
        </w:rPr>
      </w:pPr>
      <w:r>
        <w:rPr>
          <w:sz w:val="22"/>
          <w:szCs w:val="24"/>
        </w:rPr>
        <w:fldChar w:fldCharType="begin"/>
      </w:r>
      <w:r>
        <w:rPr>
          <w:sz w:val="22"/>
          <w:szCs w:val="24"/>
        </w:rPr>
        <w:instrText>HYPERLINK "https://planningpublicaccess.southdowns.gov.uk/online-applications/applicationDetails.do?activeTab=summary&amp;keyVal=SEPX6NTUHCN00"</w:instrText>
      </w:r>
      <w:r>
        <w:rPr>
          <w:sz w:val="22"/>
          <w:szCs w:val="24"/>
        </w:rPr>
      </w:r>
      <w:r>
        <w:rPr>
          <w:sz w:val="22"/>
          <w:szCs w:val="24"/>
        </w:rPr>
        <w:fldChar w:fldCharType="separate"/>
      </w:r>
      <w:r>
        <w:rPr>
          <w:rStyle w:val="Hyperlink"/>
          <w:rFonts w:ascii="Gill Sans MT" w:hAnsi="Gill Sans MT" w:cs="Calibri"/>
          <w:szCs w:val="24"/>
        </w:rPr>
        <w:t>View the case on public access</w:t>
      </w:r>
    </w:p>
    <w:p w14:paraId="32632257" w14:textId="77777777" w:rsidR="00906B1B" w:rsidRDefault="00906B1B">
      <w:pPr>
        <w:rPr>
          <w:rFonts w:cs="Calibri"/>
          <w:sz w:val="22"/>
          <w:szCs w:val="24"/>
        </w:rPr>
      </w:pPr>
      <w:r>
        <w:rPr>
          <w:sz w:val="22"/>
          <w:szCs w:val="24"/>
        </w:rPr>
        <w:fldChar w:fldCharType="end"/>
      </w:r>
    </w:p>
    <w:p w14:paraId="2029410B" w14:textId="77777777" w:rsidR="00906B1B" w:rsidRDefault="00906B1B">
      <w:pPr>
        <w:rPr>
          <w:sz w:val="22"/>
          <w:szCs w:val="24"/>
        </w:rPr>
      </w:pPr>
    </w:p>
    <w:p w14:paraId="69B109E0" w14:textId="77777777" w:rsidR="00906B1B" w:rsidRDefault="00906B1B">
      <w:pPr>
        <w:rPr>
          <w:rFonts w:cs="Calibri"/>
          <w:sz w:val="22"/>
          <w:szCs w:val="24"/>
        </w:rPr>
      </w:pPr>
    </w:p>
    <w:p w14:paraId="47D4D022" w14:textId="77777777" w:rsidR="00906B1B" w:rsidRDefault="00906B1B">
      <w:pPr>
        <w:rPr>
          <w:sz w:val="22"/>
          <w:szCs w:val="24"/>
        </w:rPr>
      </w:pPr>
    </w:p>
    <w:p w14:paraId="4A41888F" w14:textId="77777777" w:rsidR="00906B1B" w:rsidRDefault="00906B1B">
      <w:pPr>
        <w:rPr>
          <w:rFonts w:cs="Calibri"/>
          <w:sz w:val="22"/>
          <w:szCs w:val="24"/>
        </w:rPr>
      </w:pPr>
    </w:p>
    <w:p w14:paraId="4F20B87B" w14:textId="77777777" w:rsidR="00906B1B" w:rsidRDefault="00906B1B">
      <w:pPr>
        <w:rPr>
          <w:sz w:val="22"/>
          <w:szCs w:val="24"/>
        </w:rPr>
      </w:pPr>
    </w:p>
    <w:p w14:paraId="35521B0E" w14:textId="77777777" w:rsidR="00906B1B" w:rsidRDefault="00906B1B">
      <w:pPr>
        <w:rPr>
          <w:rFonts w:cs="Calibri"/>
          <w:sz w:val="22"/>
          <w:szCs w:val="24"/>
        </w:rPr>
      </w:pPr>
    </w:p>
    <w:p w14:paraId="29E4AFCB" w14:textId="77777777" w:rsidR="00906B1B" w:rsidRDefault="00906B1B">
      <w:pPr>
        <w:rPr>
          <w:sz w:val="22"/>
          <w:szCs w:val="24"/>
        </w:rPr>
      </w:pPr>
    </w:p>
    <w:p w14:paraId="4538D211" w14:textId="77777777" w:rsidR="00906B1B" w:rsidRDefault="00906B1B">
      <w:pPr>
        <w:rPr>
          <w:rFonts w:cs="Calibri"/>
          <w:sz w:val="22"/>
          <w:szCs w:val="24"/>
        </w:rPr>
      </w:pPr>
    </w:p>
    <w:p w14:paraId="2FDFAF6B" w14:textId="77777777" w:rsidR="00906B1B" w:rsidRDefault="00906B1B">
      <w:pPr>
        <w:rPr>
          <w:sz w:val="22"/>
          <w:szCs w:val="24"/>
        </w:rPr>
      </w:pPr>
    </w:p>
    <w:p w14:paraId="33595C29" w14:textId="77777777" w:rsidR="00906B1B" w:rsidRDefault="00906B1B">
      <w:pPr>
        <w:rPr>
          <w:rFonts w:cs="Calibri"/>
          <w:sz w:val="22"/>
          <w:szCs w:val="24"/>
        </w:rPr>
      </w:pPr>
    </w:p>
    <w:p w14:paraId="063164E5" w14:textId="77777777" w:rsidR="00906B1B" w:rsidRDefault="00906B1B">
      <w:pPr>
        <w:rPr>
          <w:sz w:val="22"/>
          <w:szCs w:val="24"/>
        </w:rPr>
      </w:pPr>
    </w:p>
    <w:p w14:paraId="2FF84A0F" w14:textId="77777777" w:rsidR="00906B1B" w:rsidRDefault="00906B1B">
      <w:pPr>
        <w:rPr>
          <w:rFonts w:cs="Calibri"/>
          <w:sz w:val="22"/>
          <w:szCs w:val="24"/>
        </w:rPr>
      </w:pPr>
    </w:p>
    <w:p w14:paraId="633DE302" w14:textId="77777777" w:rsidR="00906B1B" w:rsidRDefault="00906B1B">
      <w:pPr>
        <w:rPr>
          <w:sz w:val="22"/>
          <w:szCs w:val="24"/>
        </w:rPr>
      </w:pPr>
    </w:p>
    <w:p w14:paraId="583AC175" w14:textId="77777777" w:rsidR="00906B1B" w:rsidRDefault="00906B1B">
      <w:pPr>
        <w:rPr>
          <w:rFonts w:cs="Calibri"/>
          <w:sz w:val="22"/>
          <w:szCs w:val="24"/>
        </w:rPr>
      </w:pPr>
    </w:p>
    <w:p w14:paraId="611C7766" w14:textId="77777777" w:rsidR="00906B1B" w:rsidRDefault="00906B1B">
      <w:pPr>
        <w:rPr>
          <w:sz w:val="22"/>
          <w:szCs w:val="24"/>
        </w:rPr>
      </w:pPr>
    </w:p>
    <w:p w14:paraId="1C1D725A" w14:textId="77777777" w:rsidR="00906B1B" w:rsidRDefault="00906B1B">
      <w:pPr>
        <w:rPr>
          <w:rFonts w:cs="Calibri"/>
          <w:sz w:val="22"/>
          <w:szCs w:val="24"/>
        </w:rPr>
      </w:pPr>
    </w:p>
    <w:p w14:paraId="30B8A88F" w14:textId="77777777" w:rsidR="00906B1B" w:rsidRDefault="00906B1B">
      <w:pPr>
        <w:rPr>
          <w:sz w:val="22"/>
          <w:szCs w:val="24"/>
        </w:rPr>
      </w:pPr>
    </w:p>
    <w:p w14:paraId="372742D4" w14:textId="77777777" w:rsidR="00906B1B" w:rsidRDefault="00906B1B">
      <w:pPr>
        <w:rPr>
          <w:rFonts w:cs="Calibri"/>
          <w:sz w:val="22"/>
          <w:szCs w:val="24"/>
        </w:rPr>
      </w:pPr>
    </w:p>
    <w:p w14:paraId="783B806D" w14:textId="77777777" w:rsidR="00906B1B" w:rsidRDefault="00906B1B">
      <w:pPr>
        <w:rPr>
          <w:rFonts w:cs="Calibri"/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>SDNP/24/02378/DCOND</w:t>
      </w:r>
    </w:p>
    <w:p w14:paraId="1DBAC565" w14:textId="77777777" w:rsidR="00906B1B" w:rsidRDefault="00906B1B">
      <w:pPr>
        <w:rPr>
          <w:sz w:val="22"/>
          <w:szCs w:val="24"/>
        </w:rPr>
      </w:pPr>
    </w:p>
    <w:p w14:paraId="21336778" w14:textId="77777777" w:rsidR="00906B1B" w:rsidRDefault="00906B1B">
      <w:pPr>
        <w:rPr>
          <w:sz w:val="22"/>
          <w:szCs w:val="24"/>
        </w:rPr>
      </w:pPr>
      <w:r>
        <w:rPr>
          <w:rFonts w:cs="Calibri"/>
          <w:sz w:val="22"/>
          <w:szCs w:val="24"/>
        </w:rPr>
        <w:t>Discharge of Condition 21 (Refuse and recycling), Condition 22 (Cycle provisions) and Condition 24 (External lighting) and part discharge of Condition 13 (Materials and finishes) for SDNP/22/01858/FUL.</w:t>
      </w:r>
    </w:p>
    <w:p w14:paraId="4C152DC6" w14:textId="77777777" w:rsidR="00906B1B" w:rsidRDefault="00906B1B">
      <w:pPr>
        <w:rPr>
          <w:sz w:val="22"/>
          <w:szCs w:val="24"/>
        </w:rPr>
      </w:pPr>
      <w:r>
        <w:rPr>
          <w:rFonts w:cs="Calibri"/>
          <w:sz w:val="22"/>
          <w:szCs w:val="24"/>
        </w:rPr>
        <w:t xml:space="preserve">At  </w:t>
      </w:r>
    </w:p>
    <w:p w14:paraId="6389F432" w14:textId="77777777" w:rsidR="00906B1B" w:rsidRDefault="00906B1B">
      <w:pPr>
        <w:rPr>
          <w:rFonts w:cs="Calibri"/>
          <w:sz w:val="22"/>
          <w:szCs w:val="24"/>
        </w:rPr>
      </w:pPr>
    </w:p>
    <w:p w14:paraId="3E6A1840" w14:textId="77777777" w:rsidR="00906B1B" w:rsidRDefault="00906B1B">
      <w:pPr>
        <w:rPr>
          <w:rFonts w:cs="Calibri"/>
          <w:sz w:val="22"/>
          <w:szCs w:val="24"/>
        </w:rPr>
      </w:pPr>
      <w:r>
        <w:rPr>
          <w:sz w:val="22"/>
          <w:szCs w:val="24"/>
        </w:rPr>
        <w:t xml:space="preserve">Recreation Ground and Allotment Gardens, Egmont Road, Easebourne, West Sussex, </w:t>
      </w:r>
    </w:p>
    <w:p w14:paraId="07313348" w14:textId="77777777" w:rsidR="00906B1B" w:rsidRDefault="00906B1B">
      <w:pPr>
        <w:rPr>
          <w:sz w:val="22"/>
          <w:szCs w:val="24"/>
        </w:rPr>
      </w:pPr>
    </w:p>
    <w:p w14:paraId="05891771" w14:textId="77777777" w:rsidR="00906B1B" w:rsidRDefault="00906B1B">
      <w:pPr>
        <w:rPr>
          <w:rFonts w:cs="Calibri"/>
          <w:sz w:val="22"/>
          <w:szCs w:val="24"/>
        </w:rPr>
      </w:pPr>
    </w:p>
    <w:p w14:paraId="77550C0F" w14:textId="77777777" w:rsidR="00906B1B" w:rsidRDefault="00906B1B">
      <w:pPr>
        <w:rPr>
          <w:sz w:val="22"/>
          <w:szCs w:val="24"/>
        </w:rPr>
      </w:pPr>
      <w:r>
        <w:rPr>
          <w:b/>
          <w:sz w:val="22"/>
          <w:szCs w:val="24"/>
        </w:rPr>
        <w:t>Validation Date:</w:t>
      </w:r>
      <w:r>
        <w:rPr>
          <w:rFonts w:cs="Calibri"/>
          <w:sz w:val="22"/>
          <w:szCs w:val="24"/>
        </w:rPr>
        <w:tab/>
        <w:t>11 June 2024</w:t>
      </w:r>
    </w:p>
    <w:p w14:paraId="14BC9CA1" w14:textId="77777777" w:rsidR="00906B1B" w:rsidRDefault="00906B1B">
      <w:pPr>
        <w:rPr>
          <w:rFonts w:cs="Calibri"/>
          <w:sz w:val="22"/>
          <w:szCs w:val="24"/>
        </w:rPr>
      </w:pPr>
    </w:p>
    <w:p w14:paraId="22D185A9" w14:textId="77777777" w:rsidR="00906B1B" w:rsidRDefault="00906B1B">
      <w:pPr>
        <w:rPr>
          <w:sz w:val="22"/>
          <w:szCs w:val="24"/>
        </w:rPr>
      </w:pPr>
      <w:r>
        <w:rPr>
          <w:b/>
          <w:sz w:val="22"/>
          <w:szCs w:val="24"/>
        </w:rPr>
        <w:t>Date of Direction:</w:t>
      </w:r>
      <w:r>
        <w:rPr>
          <w:rFonts w:cs="Calibri"/>
          <w:sz w:val="22"/>
          <w:szCs w:val="24"/>
        </w:rPr>
        <w:t xml:space="preserve"> </w:t>
      </w:r>
      <w:r>
        <w:rPr>
          <w:rFonts w:cs="Calibri"/>
          <w:sz w:val="22"/>
          <w:szCs w:val="24"/>
        </w:rPr>
        <w:tab/>
        <w:t xml:space="preserve">No call in required. </w:t>
      </w:r>
    </w:p>
    <w:p w14:paraId="5B016E92" w14:textId="77777777" w:rsidR="00906B1B" w:rsidRDefault="00906B1B">
      <w:pPr>
        <w:rPr>
          <w:rFonts w:cs="Calibri"/>
          <w:sz w:val="22"/>
          <w:szCs w:val="24"/>
        </w:rPr>
      </w:pPr>
    </w:p>
    <w:p w14:paraId="60FBD07F" w14:textId="77777777" w:rsidR="00906B1B" w:rsidRDefault="00906B1B">
      <w:pPr>
        <w:rPr>
          <w:rFonts w:cs="Calibri"/>
          <w:b/>
          <w:sz w:val="22"/>
          <w:szCs w:val="24"/>
        </w:rPr>
      </w:pPr>
      <w:r>
        <w:rPr>
          <w:b/>
          <w:sz w:val="22"/>
          <w:szCs w:val="24"/>
        </w:rPr>
        <w:t>Reason for the Direction</w:t>
      </w:r>
    </w:p>
    <w:p w14:paraId="377A82D6" w14:textId="77777777" w:rsidR="00906B1B" w:rsidRDefault="00906B1B">
      <w:pPr>
        <w:rPr>
          <w:sz w:val="22"/>
          <w:szCs w:val="24"/>
        </w:rPr>
      </w:pPr>
    </w:p>
    <w:p w14:paraId="71FA1864" w14:textId="77777777" w:rsidR="00906B1B" w:rsidRDefault="00906B1B">
      <w:pPr>
        <w:rPr>
          <w:rFonts w:cs="Calibri"/>
          <w:color w:val="0000FF"/>
          <w:szCs w:val="24"/>
          <w:u w:val="single"/>
        </w:rPr>
      </w:pPr>
      <w:r>
        <w:rPr>
          <w:rFonts w:cs="Calibri"/>
          <w:sz w:val="22"/>
          <w:szCs w:val="24"/>
        </w:rPr>
        <w:fldChar w:fldCharType="begin"/>
      </w:r>
      <w:r>
        <w:rPr>
          <w:rFonts w:cs="Calibri"/>
          <w:sz w:val="22"/>
          <w:szCs w:val="24"/>
        </w:rPr>
        <w:instrText>HYPERLINK "https://planningpublicaccess.southdowns.gov.uk/online-applications/applicationDetails.do?activeTab=summary&amp;keyVal=SEVFTDTUHEJ00"</w:instrText>
      </w:r>
      <w:r>
        <w:rPr>
          <w:rFonts w:cs="Calibri"/>
          <w:sz w:val="22"/>
          <w:szCs w:val="24"/>
        </w:rPr>
      </w:r>
      <w:r>
        <w:rPr>
          <w:rFonts w:cs="Calibri"/>
          <w:sz w:val="22"/>
          <w:szCs w:val="24"/>
        </w:rPr>
        <w:fldChar w:fldCharType="separate"/>
      </w:r>
      <w:r>
        <w:rPr>
          <w:rStyle w:val="Hyperlink"/>
          <w:rFonts w:ascii="Gill Sans MT" w:hAnsi="Gill Sans MT" w:cs="Gill Sans MT"/>
          <w:szCs w:val="24"/>
        </w:rPr>
        <w:t>View the case on public access</w:t>
      </w:r>
    </w:p>
    <w:p w14:paraId="2286AD90" w14:textId="77777777" w:rsidR="00906B1B" w:rsidRDefault="00906B1B">
      <w:pPr>
        <w:rPr>
          <w:sz w:val="22"/>
          <w:szCs w:val="24"/>
        </w:rPr>
      </w:pPr>
      <w:r>
        <w:rPr>
          <w:rFonts w:cs="Calibri"/>
          <w:sz w:val="22"/>
          <w:szCs w:val="24"/>
        </w:rPr>
        <w:fldChar w:fldCharType="end"/>
      </w:r>
    </w:p>
    <w:p w14:paraId="23BD4342" w14:textId="77777777" w:rsidR="00906B1B" w:rsidRDefault="00906B1B">
      <w:pPr>
        <w:rPr>
          <w:rFonts w:cs="Calibri"/>
          <w:sz w:val="22"/>
          <w:szCs w:val="24"/>
        </w:rPr>
      </w:pPr>
    </w:p>
    <w:p w14:paraId="2EC9FB91" w14:textId="77777777" w:rsidR="00906B1B" w:rsidRDefault="00906B1B">
      <w:pPr>
        <w:rPr>
          <w:sz w:val="22"/>
          <w:szCs w:val="24"/>
        </w:rPr>
      </w:pPr>
    </w:p>
    <w:sectPr w:rsidR="00000000">
      <w:footerReference w:type="first" r:id="rId7"/>
      <w:pgSz w:w="11906" w:h="16838"/>
      <w:pgMar w:top="1135" w:right="1016" w:bottom="360" w:left="1440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BCEC9B" w14:textId="77777777" w:rsidR="00906B1B" w:rsidRDefault="00906B1B">
      <w:r>
        <w:separator/>
      </w:r>
    </w:p>
  </w:endnote>
  <w:endnote w:type="continuationSeparator" w:id="0">
    <w:p w14:paraId="59860A2A" w14:textId="77777777" w:rsidR="00906B1B" w:rsidRDefault="00906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988AF0" w14:textId="77777777" w:rsidR="00906B1B" w:rsidRDefault="00906B1B">
    <w:pPr>
      <w:pStyle w:val="Footer"/>
      <w:rPr>
        <w:rFonts w:cs="Calibri"/>
        <w:sz w:val="16"/>
        <w:szCs w:val="24"/>
      </w:rPr>
    </w:pPr>
    <w:r>
      <w:rPr>
        <w:sz w:val="16"/>
        <w:szCs w:val="24"/>
      </w:rPr>
      <w:t>CIWEB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1ACCD2" w14:textId="77777777" w:rsidR="00906B1B" w:rsidRDefault="00906B1B">
      <w:r>
        <w:separator/>
      </w:r>
    </w:p>
  </w:footnote>
  <w:footnote w:type="continuationSeparator" w:id="0">
    <w:p w14:paraId="0293E0FB" w14:textId="77777777" w:rsidR="00906B1B" w:rsidRDefault="00906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13259"/>
    <w:rsid w:val="00013259"/>
    <w:rsid w:val="00906B1B"/>
    <w:rsid w:val="0092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BD06E1"/>
  <w14:defaultImageDpi w14:val="0"/>
  <w15:docId w15:val="{7FE7C685-D82E-4FF5-8739-42506E4A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sz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Cs w:val="20"/>
    </w:rPr>
  </w:style>
  <w:style w:type="paragraph" w:customStyle="1" w:styleId="Normal0">
    <w:name w:val="[Normal]"/>
    <w:basedOn w:val="Normal"/>
    <w:uiPriority w:val="99"/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rPr>
      <w:rFonts w:ascii="Verdana" w:hAnsi="Verdana" w:cs="Verdana"/>
      <w:color w:val="000000"/>
      <w:szCs w:val="19"/>
    </w:rPr>
  </w:style>
  <w:style w:type="paragraph" w:styleId="CommentText">
    <w:name w:val="annotation text"/>
    <w:basedOn w:val="Normal"/>
    <w:link w:val="CommentTextChar"/>
    <w:uiPriority w:val="9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Cs w:val="20"/>
    </w:rPr>
  </w:style>
  <w:style w:type="paragraph" w:customStyle="1" w:styleId="Tabletext">
    <w:name w:val="Table text"/>
    <w:basedOn w:val="Normal"/>
    <w:next w:val="Header"/>
    <w:uiPriority w:val="99"/>
    <w:pPr>
      <w:suppressAutoHyphens/>
      <w:spacing w:before="60" w:after="60" w:line="240" w:lineRule="atLeast"/>
    </w:pPr>
    <w:rPr>
      <w:rFonts w:ascii="Arial" w:hAnsi="Arial" w:cs="Arial"/>
      <w:szCs w:val="20"/>
    </w:rPr>
  </w:style>
  <w:style w:type="paragraph" w:styleId="BodyText">
    <w:name w:val="Body Text"/>
    <w:basedOn w:val="Normal"/>
    <w:next w:val="Tabletext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Gill Sans MT" w:hAnsi="Gill Sans MT" w:cs="Gill Sans MT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hAnsi="Times New Roman" w:cs="Times New Roman"/>
      <w:bCs/>
      <w:szCs w:val="20"/>
    </w:rPr>
  </w:style>
  <w:style w:type="character" w:styleId="LineNumber">
    <w:name w:val="line number"/>
    <w:basedOn w:val="DefaultParagraphFont"/>
    <w:uiPriority w:val="99"/>
    <w:rPr>
      <w:rFonts w:cs="Times New Roman"/>
      <w:szCs w:val="2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Cs w:val="16"/>
    </w:rPr>
  </w:style>
  <w:style w:type="table" w:styleId="TableSimple1">
    <w:name w:val="Table Simple 1"/>
    <w:basedOn w:val="TableNormal"/>
    <w:uiPriority w:val="99"/>
    <w:pPr>
      <w:widowControl w:val="0"/>
      <w:autoSpaceDE w:val="0"/>
      <w:autoSpaceDN w:val="0"/>
      <w:adjustRightInd w:val="0"/>
      <w:spacing w:after="0"/>
    </w:pPr>
    <w:rPr>
      <w:rFonts w:ascii="Calibri" w:hAnsi="Calibri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subject/>
  <dc:creator>xsdnpacl</dc:creator>
  <cp:keywords/>
  <dc:description/>
  <cp:lastModifiedBy>Kimberley Gammon</cp:lastModifiedBy>
  <cp:revision>2</cp:revision>
  <cp:lastPrinted>2011-05-06T08:56:00Z</cp:lastPrinted>
  <dcterms:created xsi:type="dcterms:W3CDTF">2024-06-17T17:53:00Z</dcterms:created>
  <dcterms:modified xsi:type="dcterms:W3CDTF">2024-06-17T17:53:00Z</dcterms:modified>
</cp:coreProperties>
</file>